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3E5" w:rsidRDefault="00D24B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95045C" w:rsidRDefault="00A1570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bookmarkStart w:id="0" w:name="_Hlk503445356"/>
      <w:r w:rsidR="00F942A0" w:rsidRPr="007D182E">
        <w:rPr>
          <w:rFonts w:ascii="Times New Roman" w:eastAsia="Times New Roman" w:hAnsi="Times New Roman" w:cs="Times New Roman"/>
          <w:sz w:val="48"/>
          <w:szCs w:val="48"/>
        </w:rPr>
        <w:t>Tatabányai Szakképzési Centrum</w:t>
      </w:r>
    </w:p>
    <w:p w:rsidR="00661E4A" w:rsidRPr="00661E4A" w:rsidRDefault="004864FF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Eötvös Loránd Szakgimnáziuma és Szakközépiskolája 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 xml:space="preserve">tagintézménye –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Miniturn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esztega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javítása</w:t>
      </w:r>
      <w:r w:rsidR="00E00E9A" w:rsidRPr="00E00E9A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bookmarkEnd w:id="0"/>
      <w:r w:rsidR="003A7D93">
        <w:rPr>
          <w:rFonts w:ascii="Times New Roman" w:eastAsia="Times New Roman" w:hAnsi="Times New Roman" w:cs="Times New Roman"/>
          <w:sz w:val="48"/>
          <w:szCs w:val="48"/>
        </w:rPr>
        <w:t>”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1570E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F50C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Szakgimnáziuma</w:t>
      </w:r>
      <w:r w:rsidR="00150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352" w:rsidRPr="00150352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gramStart"/>
      <w:r w:rsidR="00150352" w:rsidRPr="00150352">
        <w:rPr>
          <w:rFonts w:ascii="Times New Roman" w:eastAsia="Times New Roman" w:hAnsi="Times New Roman" w:cs="Times New Roman"/>
          <w:sz w:val="24"/>
          <w:szCs w:val="24"/>
        </w:rPr>
        <w:t>Szakközépiskolája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 tagintézménye</w:t>
      </w:r>
      <w:proofErr w:type="gramEnd"/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javítása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D45F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SZC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Szakgimnáziuma</w:t>
      </w:r>
      <w:proofErr w:type="gramStart"/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számára</w:t>
      </w:r>
      <w:proofErr w:type="gramEnd"/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a színvonalas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felnőtt oktatás biztosítása a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szükséges eszközök beszerzésével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3FA1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>eszköz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ök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megnevezése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D45F8" w:rsidRDefault="00486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Miniturn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esztega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5F8">
        <w:rPr>
          <w:rFonts w:ascii="Times New Roman" w:eastAsia="Times New Roman" w:hAnsi="Times New Roman" w:cs="Times New Roman"/>
          <w:sz w:val="24"/>
          <w:szCs w:val="24"/>
        </w:rPr>
        <w:t>– 2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db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9C4020" w:rsidRDefault="0029794D" w:rsidP="00E00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  <w:r w:rsidR="009C402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Default="009D45F8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 Szakgimnáziuma</w:t>
      </w:r>
      <w:proofErr w:type="gramStart"/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D45F8" w:rsidRDefault="0093549A" w:rsidP="009D45F8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A763A3">
        <w:rPr>
          <w:rFonts w:ascii="Times New Roman" w:eastAsia="Times New Roman" w:hAnsi="Times New Roman" w:cs="Times New Roman"/>
          <w:sz w:val="24"/>
          <w:szCs w:val="24"/>
        </w:rPr>
        <w:t xml:space="preserve"> Szakgimnáziuma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>és Szakközépiskolája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Default="0093549A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82921" w:rsidRPr="00482921">
        <w:rPr>
          <w:rFonts w:ascii="Times New Roman" w:hAnsi="Times New Roman" w:cs="Times New Roman"/>
          <w:sz w:val="24"/>
          <w:szCs w:val="24"/>
        </w:rPr>
        <w:t>2840 Oroszlány, Asztalos u. 2.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82921">
        <w:rPr>
          <w:rFonts w:ascii="Times New Roman" w:eastAsia="Times New Roman" w:hAnsi="Times New Roman" w:cs="Times New Roman"/>
          <w:sz w:val="24"/>
          <w:szCs w:val="24"/>
        </w:rPr>
        <w:t>Bartalus</w:t>
      </w:r>
      <w:proofErr w:type="spellEnd"/>
      <w:r w:rsidR="00482921">
        <w:rPr>
          <w:rFonts w:ascii="Times New Roman" w:eastAsia="Times New Roman" w:hAnsi="Times New Roman" w:cs="Times New Roman"/>
          <w:sz w:val="24"/>
          <w:szCs w:val="24"/>
        </w:rPr>
        <w:t xml:space="preserve"> Ilona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E2">
        <w:rPr>
          <w:rFonts w:ascii="Times New Roman" w:eastAsia="Times New Roman" w:hAnsi="Times New Roman" w:cs="Times New Roman"/>
          <w:sz w:val="24"/>
          <w:szCs w:val="24"/>
        </w:rPr>
        <w:t>– 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AC2A1C" w:rsidRPr="00AC2A1C">
        <w:rPr>
          <w:rFonts w:ascii="Times New Roman" w:eastAsia="Times New Roman" w:hAnsi="Times New Roman" w:cs="Times New Roman"/>
          <w:sz w:val="24"/>
          <w:szCs w:val="24"/>
        </w:rPr>
        <w:t>06-</w:t>
      </w:r>
      <w:r w:rsidR="00D45AAB" w:rsidRPr="00D45AAB">
        <w:t xml:space="preserve"> </w:t>
      </w:r>
      <w:r w:rsidR="00D45AAB">
        <w:rPr>
          <w:rFonts w:ascii="Times New Roman" w:hAnsi="Times New Roman" w:cs="Times New Roman"/>
          <w:sz w:val="24"/>
          <w:szCs w:val="24"/>
        </w:rPr>
        <w:t>34</w:t>
      </w:r>
      <w:r w:rsidR="00D45AAB" w:rsidRPr="00D45AAB">
        <w:rPr>
          <w:rFonts w:ascii="Times New Roman" w:hAnsi="Times New Roman" w:cs="Times New Roman"/>
          <w:sz w:val="24"/>
          <w:szCs w:val="24"/>
        </w:rPr>
        <w:t xml:space="preserve"> 361-600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82921" w:rsidRPr="00482921">
        <w:rPr>
          <w:rFonts w:ascii="Times New Roman" w:hAnsi="Times New Roman" w:cs="Times New Roman"/>
          <w:sz w:val="24"/>
          <w:szCs w:val="24"/>
        </w:rPr>
        <w:t>szakkepzes.oroszlany@gmail.com</w:t>
      </w:r>
    </w:p>
    <w:p w:rsidR="004C4149" w:rsidRDefault="00AC2A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honlapja: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www.</w:t>
      </w:r>
      <w:r w:rsidR="00482921" w:rsidRPr="00482921">
        <w:rPr>
          <w:rFonts w:ascii="Times New Roman" w:eastAsia="Times New Roman" w:hAnsi="Times New Roman" w:cs="Times New Roman"/>
          <w:sz w:val="24"/>
          <w:szCs w:val="24"/>
        </w:rPr>
        <w:t>szakkepzes.oroszlany.hu</w:t>
      </w: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pályázat tárgya: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központjában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 xml:space="preserve"> 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C4149" w:rsidP="004C41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„Tatabányai Szakképzési 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b/>
          <w:sz w:val="24"/>
          <w:szCs w:val="24"/>
        </w:rPr>
        <w:t>Eötvös Loránd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 Szakgimnáziuma</w:t>
      </w:r>
      <w:proofErr w:type="gramStart"/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>,  tagintézménye</w:t>
      </w:r>
      <w:proofErr w:type="gramEnd"/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b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b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b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b/>
          <w:sz w:val="24"/>
          <w:szCs w:val="24"/>
        </w:rPr>
        <w:t xml:space="preserve"> javítása</w:t>
      </w:r>
      <w:r w:rsidR="00C446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E4">
        <w:rPr>
          <w:rFonts w:ascii="Times New Roman" w:eastAsia="Times New Roman" w:hAnsi="Times New Roman" w:cs="Times New Roman"/>
          <w:sz w:val="24"/>
          <w:szCs w:val="24"/>
        </w:rPr>
        <w:t>3.1./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</w:t>
      </w:r>
      <w:r w:rsidR="00BB65F2">
        <w:rPr>
          <w:rFonts w:ascii="Times New Roman" w:eastAsia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D4C6A">
        <w:rPr>
          <w:rFonts w:ascii="Times New Roman" w:eastAsia="Times New Roman" w:hAnsi="Times New Roman" w:cs="Times New Roman"/>
          <w:sz w:val="24"/>
          <w:szCs w:val="24"/>
        </w:rPr>
        <w:t>javítási szerződés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4B453B">
        <w:rPr>
          <w:rFonts w:ascii="Times New Roman" w:eastAsia="Times New Roman" w:hAnsi="Times New Roman" w:cs="Times New Roman"/>
          <w:sz w:val="24"/>
          <w:szCs w:val="24"/>
        </w:rPr>
        <w:t>)típus meghatározása:</w:t>
      </w:r>
    </w:p>
    <w:p w:rsidR="00D03F6E" w:rsidRDefault="009D4C6A" w:rsidP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Javítási szerződés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január 29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 w:rsidP="008A73FB">
      <w:pPr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A763A3">
        <w:rPr>
          <w:rFonts w:ascii="Times New Roman" w:eastAsia="Times New Roman" w:hAnsi="Times New Roman" w:cs="Times New Roman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>és Szakközépiskolája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 tagintézménye</w:t>
      </w:r>
    </w:p>
    <w:p w:rsidR="008A73FB" w:rsidRDefault="00AC390C" w:rsidP="008A73F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5F" w:rsidRPr="00482921">
        <w:rPr>
          <w:rFonts w:ascii="Times New Roman" w:hAnsi="Times New Roman" w:cs="Times New Roman"/>
          <w:sz w:val="24"/>
          <w:szCs w:val="24"/>
        </w:rPr>
        <w:t>2840 Oroszlány, Asztalos u. 2.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>által megalkotott 201</w:t>
      </w:r>
      <w:r w:rsidR="00627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E2142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előleget fizet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9D4C6A">
        <w:rPr>
          <w:rFonts w:ascii="Times New Roman" w:eastAsia="Times New Roman" w:hAnsi="Times New Roman" w:cs="Times New Roman"/>
          <w:sz w:val="24"/>
          <w:szCs w:val="24"/>
        </w:rPr>
        <w:t>javítási szerződés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</w:t>
      </w:r>
      <w:r w:rsidR="00186F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509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</w:t>
      </w:r>
      <w:r w:rsidR="009D4C6A">
        <w:rPr>
          <w:rFonts w:ascii="Times New Roman" w:eastAsia="Times New Roman" w:hAnsi="Times New Roman" w:cs="Times New Roman"/>
          <w:sz w:val="24"/>
          <w:szCs w:val="24"/>
        </w:rPr>
        <w:t xml:space="preserve"> felhívás megküldését megelőző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</w:t>
      </w:r>
      <w:r w:rsidR="009D4C6A">
        <w:rPr>
          <w:rFonts w:ascii="Times New Roman" w:eastAsia="Times New Roman" w:hAnsi="Times New Roman" w:cs="Times New Roman"/>
          <w:sz w:val="24"/>
          <w:szCs w:val="24"/>
        </w:rPr>
        <w:t>ánlattételi határidőt megelőző 2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8A73FB" w:rsidRDefault="00DB78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58E5">
        <w:rPr>
          <w:rFonts w:ascii="Times New Roman" w:eastAsia="Times New Roman" w:hAnsi="Times New Roman" w:cs="Times New Roman"/>
          <w:b/>
          <w:sz w:val="24"/>
          <w:szCs w:val="24"/>
        </w:rPr>
        <w:t>január 25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86F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5A90" w:rsidRPr="008A73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03F6E" w:rsidRPr="008A73FB">
        <w:rPr>
          <w:rFonts w:ascii="Times New Roman" w:eastAsia="Times New Roman" w:hAnsi="Times New Roman" w:cs="Times New Roman"/>
          <w:b/>
          <w:sz w:val="24"/>
          <w:szCs w:val="24"/>
        </w:rPr>
        <w:t>00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Pr="008A73FB" w:rsidRDefault="005962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D66AAC" w:rsidRPr="008A73FB" w:rsidRDefault="00D66A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Pontos cím: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2800 Tatabánya, Fő tér 4.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16./ A pályázatok benyújtásának, felbontásának szabályai, ideje, helye:  </w:t>
      </w:r>
    </w:p>
    <w:p w:rsidR="006723E5" w:rsidRDefault="005962BB" w:rsidP="008A7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16.1./ A pályázatot cégszerűen aláírva, 2 példányban (egy eredeti és egy, az eredetivel mindenben azonos tartalmú másolati példányban) roncsolás mentesen, nem bontható kötésben, folyamatos oldalszámozással és tartalomjegyzékkel ellátva, zárt csomagolásban, a „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A763A3">
        <w:rPr>
          <w:rFonts w:ascii="Times New Roman" w:eastAsia="Times New Roman" w:hAnsi="Times New Roman" w:cs="Times New Roman"/>
          <w:sz w:val="24"/>
          <w:szCs w:val="24"/>
        </w:rPr>
        <w:t xml:space="preserve"> Szakgimnáziuma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>Szakközépiskolája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  tagintézménye</w:t>
      </w:r>
      <w:proofErr w:type="gramEnd"/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javítása</w:t>
      </w:r>
      <w:r w:rsidR="00A7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57E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felirat csomagoláson való feltüntetésével kell benyújtani.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51ED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658E5">
        <w:rPr>
          <w:rFonts w:ascii="Times New Roman" w:eastAsia="Times New Roman" w:hAnsi="Times New Roman" w:cs="Times New Roman"/>
          <w:sz w:val="24"/>
          <w:szCs w:val="24"/>
        </w:rPr>
        <w:t>január 25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6FC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:00 óra.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felbontásának helye: Tatabányai Szakképzési Centrum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 központja, 2800 Tatabánya, Fő tér 4. (Megyeháza), I. emelet 130. szoba.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>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776C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7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>rvezett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776C5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ajánlat(ok)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írásban (e-mail)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146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Sipos-Goór Georgina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06(34)517-186</w:t>
      </w:r>
    </w:p>
    <w:p w:rsidR="006723E5" w:rsidRDefault="005962BB">
      <w:pPr>
        <w:jc w:val="both"/>
        <w:rPr>
          <w:rStyle w:val="Hiperhivatkozs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46942" w:rsidRPr="00291F57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georgina.sipos-goor@tszc.hu</w:t>
        </w:r>
      </w:hyperlink>
    </w:p>
    <w:p w:rsidR="005502BC" w:rsidRDefault="00D8398D" w:rsidP="00550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István</w:t>
      </w:r>
      <w:r w:rsidR="005502BC">
        <w:rPr>
          <w:rFonts w:ascii="Times New Roman" w:eastAsia="Times New Roman" w:hAnsi="Times New Roman" w:cs="Times New Roman"/>
          <w:sz w:val="24"/>
          <w:szCs w:val="24"/>
        </w:rPr>
        <w:t>– 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Eötvös Loránd Szakgimnáziuma</w:t>
      </w:r>
      <w:r w:rsidR="00550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 xml:space="preserve">és Szakközépiskolája </w:t>
      </w:r>
      <w:r w:rsidR="005502BC">
        <w:rPr>
          <w:rFonts w:ascii="Times New Roman" w:eastAsia="Times New Roman" w:hAnsi="Times New Roman" w:cs="Times New Roman"/>
          <w:sz w:val="24"/>
          <w:szCs w:val="24"/>
        </w:rPr>
        <w:t xml:space="preserve">–gyakorlati oktatásvezető </w:t>
      </w:r>
    </w:p>
    <w:p w:rsidR="005502BC" w:rsidRDefault="00D8398D" w:rsidP="00550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06/70-400-69-12</w:t>
      </w:r>
    </w:p>
    <w:p w:rsidR="005502BC" w:rsidRDefault="00550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D8398D" w:rsidRPr="00D8398D">
        <w:rPr>
          <w:rFonts w:ascii="Times New Roman" w:hAnsi="Times New Roman" w:cs="Times New Roman"/>
          <w:sz w:val="24"/>
          <w:szCs w:val="24"/>
        </w:rPr>
        <w:t>molnarpityu86@gmail.com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.8./ A pályázati eljárással kapcsolatban, az Ajánlatkérő részéről döntéshozó képviselő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(főigazgatói egyetértéssel)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3147" w:rsidRDefault="00D8398D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Ilona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47" w:rsidRPr="002356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61CB6" w:rsidRPr="002356FE">
        <w:rPr>
          <w:rFonts w:ascii="Times New Roman" w:eastAsia="Times New Roman" w:hAnsi="Times New Roman" w:cs="Times New Roman"/>
          <w:sz w:val="24"/>
          <w:szCs w:val="24"/>
        </w:rPr>
        <w:t>TSZC</w:t>
      </w:r>
      <w:r w:rsidR="002356FE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és Szakközépiskolája</w:t>
      </w:r>
      <w:proofErr w:type="gramStart"/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 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igazgató</w:t>
      </w:r>
    </w:p>
    <w:p w:rsidR="00DF3147" w:rsidRPr="00D8398D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06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98D" w:rsidRPr="00D8398D">
        <w:rPr>
          <w:rFonts w:ascii="Times New Roman" w:hAnsi="Times New Roman" w:cs="Times New Roman"/>
          <w:sz w:val="24"/>
          <w:szCs w:val="24"/>
        </w:rPr>
        <w:t>34 361-600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 xml:space="preserve"> és az üzembe helyezéséhez kapcsolódó oktatást.</w:t>
      </w:r>
    </w:p>
    <w:p w:rsidR="002F1A7B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tájékoztatja a Pályázókat arra vonatkozólag, hogy amennyiben a nyertes Pályázó visszalép, akkor az Ajánlatkérő az írásbeli Összegzésben meghatározott, nyertes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lastRenderedPageBreak/>
        <w:t>ajánlatot követő legkedvezőbb ajánlatot tevővel köt szerződést, - amennyiben a rendelkezésre álló keretö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Ptk-ban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</w:t>
      </w:r>
      <w:r w:rsidR="001F4993">
        <w:rPr>
          <w:rFonts w:ascii="Times New Roman" w:eastAsia="Times New Roman" w:hAnsi="Times New Roman" w:cs="Times New Roman"/>
          <w:sz w:val="24"/>
          <w:szCs w:val="24"/>
        </w:rPr>
        <w:t>2018. 01. 19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35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E719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Bartalus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Ilona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1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C57C01" w:rsidRPr="00C57C01" w:rsidRDefault="00C57C01" w:rsidP="00C57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>Tatabányai Szakképzési Centrum</w:t>
            </w:r>
          </w:p>
          <w:p w:rsidR="006723E5" w:rsidRDefault="004864FF" w:rsidP="00C57C0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Eötvös Loránd</w:t>
            </w:r>
            <w:r w:rsidR="00A7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Szakgimnáziuma</w:t>
            </w:r>
            <w:r w:rsidR="00A763A3">
              <w:t xml:space="preserve"> </w:t>
            </w:r>
            <w:r w:rsidR="00A763A3" w:rsidRPr="00A7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</w:t>
            </w:r>
            <w:proofErr w:type="gramStart"/>
            <w:r w:rsidR="00A763A3" w:rsidRPr="00A763A3">
              <w:rPr>
                <w:rFonts w:ascii="Times New Roman" w:eastAsia="Times New Roman" w:hAnsi="Times New Roman" w:cs="Times New Roman"/>
                <w:sz w:val="24"/>
                <w:szCs w:val="24"/>
              </w:rPr>
              <w:t>Szakközépiskolája</w:t>
            </w:r>
            <w:r w:rsidR="00A7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57C01"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>tagintézménye</w:t>
            </w:r>
            <w:proofErr w:type="gramEnd"/>
            <w:r w:rsidR="00C57C01"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Miniturn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Hunor P721 CNC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esztega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javítása</w:t>
            </w:r>
            <w:r w:rsidR="00A7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723E5" w:rsidRDefault="004864FF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</w:t>
      </w:r>
      <w:r w:rsid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="00AF29D7" w:rsidRPr="00AF2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összege </w:t>
      </w:r>
      <w:r w:rsidR="00291150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29115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2F1A7B" w:rsidRDefault="004864FF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4864FF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321F0" w:rsidRPr="00032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5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</w:t>
      </w:r>
      <w:proofErr w:type="gramStart"/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,  tagintézménye</w:t>
      </w:r>
      <w:proofErr w:type="gramEnd"/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közös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057686" w:rsidRPr="005A5E8D" w:rsidRDefault="00BB6296" w:rsidP="005A5E8D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7A71B8" w:rsidRPr="005A5E8D" w:rsidRDefault="005962BB" w:rsidP="005A5E8D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 w:rsidP="005A5E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5A5E8D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4864FF" w:rsidP="005A5E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B6296" w:rsidRPr="00BB62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 w:rsidP="00382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és Szakközépiskolája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 w:rsidP="005A5E8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 w:rsidP="005A5E8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 w:rsidP="005A5E8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 w:rsidP="005A5E8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F36394" w:rsidRDefault="005962BB" w:rsidP="005A5E8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külön vagy együttesen meghaladja a 25%-ot. </w:t>
      </w:r>
    </w:p>
    <w:p w:rsidR="00F36394" w:rsidRDefault="005962BB" w:rsidP="005A5E8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BB6296" w:rsidP="005A5E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24033" w:rsidRP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>és Szakközépiskolája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 tagintézménye –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javítása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7B5166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javítása</w:t>
      </w:r>
      <w:r w:rsidR="0044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CE62C8" w:rsidRDefault="004864FF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sz w:val="24"/>
          <w:szCs w:val="24"/>
        </w:rPr>
        <w:t>Eötvös Loránd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sz w:val="24"/>
          <w:szCs w:val="24"/>
        </w:rPr>
        <w:t>és Szakközépiskolája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 tagintézménye –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és Szakközépiskolája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Társaságunk 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és Szakközépiskolája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5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 mint a(z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</w:t>
      </w:r>
      <w:proofErr w:type="spellStart"/>
      <w:r w:rsidR="007A71B8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 xml:space="preserve">A szerződést kötő másik fél és </w:t>
            </w: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Eötvös Loránd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Szakgimnáziuma,</w:t>
      </w:r>
      <w:r w:rsidR="00A763A3" w:rsidRPr="00A763A3">
        <w:t xml:space="preserve"> </w:t>
      </w:r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és </w:t>
      </w:r>
      <w:proofErr w:type="gramStart"/>
      <w:r w:rsidR="00A763A3" w:rsidRPr="00A763A3">
        <w:rPr>
          <w:rFonts w:ascii="Times New Roman" w:eastAsia="Times New Roman" w:hAnsi="Times New Roman" w:cs="Times New Roman"/>
          <w:color w:val="auto"/>
          <w:sz w:val="24"/>
          <w:szCs w:val="24"/>
        </w:rPr>
        <w:t>Szakközépiskolája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tagintézménye</w:t>
      </w:r>
      <w:proofErr w:type="gramEnd"/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Miniturn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Hunor P721 CNC </w:t>
      </w:r>
      <w:proofErr w:type="spellStart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>esztega</w:t>
      </w:r>
      <w:proofErr w:type="spellEnd"/>
      <w:r w:rsidR="004864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javítása</w:t>
      </w:r>
      <w:r w:rsidR="0066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mint a(z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ajánlattételi határidőt megelőző 3 üzleti évben - általános forgalmi adó nélkül számított – teljes árbevételünk az alábbi összeg volt*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770595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</w:t>
            </w:r>
            <w:r w:rsidR="009F2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770595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9F2EA6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770595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9F2EA6">
              <w:rPr>
                <w:rFonts w:ascii="Times New Roman" w:eastAsia="Times New Roman" w:hAnsi="Times New Roman" w:cs="Times New Roman"/>
                <w:sz w:val="24"/>
                <w:szCs w:val="24"/>
              </w:rPr>
              <w:t>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66F7" w:rsidRDefault="001F66F7" w:rsidP="00673E48">
      <w:pPr>
        <w:rPr>
          <w:b/>
          <w:u w:val="single"/>
        </w:rPr>
      </w:pPr>
      <w:proofErr w:type="spellStart"/>
      <w:r w:rsidRPr="001F66F7">
        <w:rPr>
          <w:rFonts w:ascii="Times New Roman" w:hAnsi="Times New Roman" w:cs="Times New Roman"/>
          <w:b/>
          <w:sz w:val="24"/>
          <w:szCs w:val="24"/>
          <w:u w:val="single"/>
        </w:rPr>
        <w:t>Mi</w:t>
      </w:r>
      <w:r w:rsidR="002E05F8">
        <w:rPr>
          <w:rFonts w:ascii="Times New Roman" w:hAnsi="Times New Roman" w:cs="Times New Roman"/>
          <w:b/>
          <w:sz w:val="24"/>
          <w:szCs w:val="24"/>
          <w:u w:val="single"/>
        </w:rPr>
        <w:t>niturn</w:t>
      </w:r>
      <w:proofErr w:type="spellEnd"/>
      <w:r w:rsidR="002E05F8">
        <w:rPr>
          <w:rFonts w:ascii="Times New Roman" w:hAnsi="Times New Roman" w:cs="Times New Roman"/>
          <w:b/>
          <w:sz w:val="24"/>
          <w:szCs w:val="24"/>
          <w:u w:val="single"/>
        </w:rPr>
        <w:t xml:space="preserve"> Hunor P721 CNC eszterga 2 </w:t>
      </w:r>
      <w:r w:rsidRPr="001F66F7">
        <w:rPr>
          <w:rFonts w:ascii="Times New Roman" w:hAnsi="Times New Roman" w:cs="Times New Roman"/>
          <w:b/>
          <w:sz w:val="24"/>
          <w:szCs w:val="24"/>
          <w:u w:val="single"/>
        </w:rPr>
        <w:t>db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Hajtás cseréje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 xml:space="preserve">2db mellékhajtás motor cseréje </w:t>
      </w:r>
      <w:proofErr w:type="gramStart"/>
      <w:r w:rsidRPr="001F66F7"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Pr="001F66F7">
        <w:rPr>
          <w:rFonts w:ascii="Times New Roman" w:hAnsi="Times New Roman" w:cs="Times New Roman"/>
          <w:sz w:val="24"/>
          <w:szCs w:val="24"/>
        </w:rPr>
        <w:t xml:space="preserve"> és z motorok)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3db jeladó cseréje (x jeladó, z jeladó, és főorsó jeladó)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Főhajtás javítása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Vezérlő átvizsgálása és karbantartása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Főmotor javítása, csapágyazása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X és Z irányok csapágyazása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 xml:space="preserve">X és Z irány orsócsere abban az </w:t>
      </w:r>
      <w:proofErr w:type="gramStart"/>
      <w:r w:rsidRPr="001F66F7">
        <w:rPr>
          <w:rFonts w:ascii="Times New Roman" w:hAnsi="Times New Roman" w:cs="Times New Roman"/>
          <w:sz w:val="24"/>
          <w:szCs w:val="24"/>
        </w:rPr>
        <w:t>esetben</w:t>
      </w:r>
      <w:proofErr w:type="gramEnd"/>
      <w:r w:rsidRPr="001F66F7">
        <w:rPr>
          <w:rFonts w:ascii="Times New Roman" w:hAnsi="Times New Roman" w:cs="Times New Roman"/>
          <w:sz w:val="24"/>
          <w:szCs w:val="24"/>
        </w:rPr>
        <w:t xml:space="preserve"> ha az orsóknak nagy a holtjátéka, vagy ha az anyák</w:t>
      </w:r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6F7">
        <w:rPr>
          <w:rFonts w:ascii="Times New Roman" w:hAnsi="Times New Roman" w:cs="Times New Roman"/>
          <w:sz w:val="24"/>
          <w:szCs w:val="24"/>
        </w:rPr>
        <w:t>sérültek</w:t>
      </w:r>
      <w:proofErr w:type="gramEnd"/>
    </w:p>
    <w:p w:rsidR="001F66F7" w:rsidRPr="001F66F7" w:rsidRDefault="001F66F7" w:rsidP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Főorsó átvizsgálása, csapágyazása</w:t>
      </w:r>
    </w:p>
    <w:p w:rsidR="00CE62C8" w:rsidRPr="00A840CB" w:rsidRDefault="001F66F7">
      <w:pPr>
        <w:rPr>
          <w:rFonts w:ascii="Times New Roman" w:hAnsi="Times New Roman" w:cs="Times New Roman"/>
          <w:sz w:val="24"/>
          <w:szCs w:val="24"/>
        </w:rPr>
      </w:pPr>
      <w:r w:rsidRPr="001F66F7">
        <w:rPr>
          <w:rFonts w:ascii="Times New Roman" w:hAnsi="Times New Roman" w:cs="Times New Roman"/>
          <w:sz w:val="24"/>
          <w:szCs w:val="24"/>
        </w:rPr>
        <w:t>Jeladók felfüggesztésének átalakítása</w:t>
      </w:r>
      <w:bookmarkStart w:id="7" w:name="_GoBack"/>
      <w:bookmarkEnd w:id="7"/>
    </w:p>
    <w:sectPr w:rsidR="00CE62C8" w:rsidRPr="00A840C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FF" w:rsidRDefault="004864FF">
      <w:pPr>
        <w:spacing w:after="0" w:line="240" w:lineRule="auto"/>
      </w:pPr>
      <w:r>
        <w:separator/>
      </w:r>
    </w:p>
  </w:endnote>
  <w:endnote w:type="continuationSeparator" w:id="0">
    <w:p w:rsidR="004864FF" w:rsidRDefault="0048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FF" w:rsidRDefault="004864FF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840CB">
      <w:rPr>
        <w:noProof/>
      </w:rPr>
      <w:t>29</w:t>
    </w:r>
    <w:r>
      <w:fldChar w:fldCharType="end"/>
    </w:r>
  </w:p>
  <w:p w:rsidR="004864FF" w:rsidRDefault="004864FF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FF" w:rsidRDefault="004864FF">
      <w:pPr>
        <w:spacing w:after="0" w:line="240" w:lineRule="auto"/>
      </w:pPr>
      <w:r>
        <w:separator/>
      </w:r>
    </w:p>
  </w:footnote>
  <w:footnote w:type="continuationSeparator" w:id="0">
    <w:p w:rsidR="004864FF" w:rsidRDefault="0048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FF" w:rsidRDefault="004864FF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21B"/>
    <w:multiLevelType w:val="hybridMultilevel"/>
    <w:tmpl w:val="8AB4B40C"/>
    <w:lvl w:ilvl="0" w:tplc="DFAA0AEE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4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150F"/>
    <w:multiLevelType w:val="hybridMultilevel"/>
    <w:tmpl w:val="B0A89890"/>
    <w:lvl w:ilvl="0" w:tplc="FE6C2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B29FA"/>
    <w:multiLevelType w:val="hybridMultilevel"/>
    <w:tmpl w:val="1862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91E0C"/>
    <w:multiLevelType w:val="hybridMultilevel"/>
    <w:tmpl w:val="A536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D13FC"/>
    <w:multiLevelType w:val="hybridMultilevel"/>
    <w:tmpl w:val="70B8E2C6"/>
    <w:lvl w:ilvl="0" w:tplc="432E92C8">
      <w:start w:val="1"/>
      <w:numFmt w:val="decimal"/>
      <w:lvlText w:val="%1.)"/>
      <w:lvlJc w:val="left"/>
      <w:pPr>
        <w:ind w:left="1352" w:hanging="360"/>
      </w:pPr>
      <w:rPr>
        <w:rFonts w:hint="default"/>
        <w:i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11"/>
  </w:num>
  <w:num w:numId="8">
    <w:abstractNumId w:val="15"/>
  </w:num>
  <w:num w:numId="9">
    <w:abstractNumId w:val="1"/>
  </w:num>
  <w:num w:numId="10">
    <w:abstractNumId w:val="16"/>
  </w:num>
  <w:num w:numId="11">
    <w:abstractNumId w:val="4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5"/>
    <w:rsid w:val="000035E6"/>
    <w:rsid w:val="00007AC5"/>
    <w:rsid w:val="000321F0"/>
    <w:rsid w:val="00051597"/>
    <w:rsid w:val="00053A95"/>
    <w:rsid w:val="00057686"/>
    <w:rsid w:val="00060B05"/>
    <w:rsid w:val="0006739F"/>
    <w:rsid w:val="00075CBB"/>
    <w:rsid w:val="00083520"/>
    <w:rsid w:val="00084C8E"/>
    <w:rsid w:val="000A5175"/>
    <w:rsid w:val="000A7F4E"/>
    <w:rsid w:val="000B0F84"/>
    <w:rsid w:val="000B1964"/>
    <w:rsid w:val="000B5099"/>
    <w:rsid w:val="000B5FF0"/>
    <w:rsid w:val="000C01ED"/>
    <w:rsid w:val="000C48BA"/>
    <w:rsid w:val="000D0938"/>
    <w:rsid w:val="000F0BD7"/>
    <w:rsid w:val="000F0BEA"/>
    <w:rsid w:val="000F5B98"/>
    <w:rsid w:val="000F5FC2"/>
    <w:rsid w:val="0011238F"/>
    <w:rsid w:val="001242B5"/>
    <w:rsid w:val="00127FAC"/>
    <w:rsid w:val="00130CD0"/>
    <w:rsid w:val="00131503"/>
    <w:rsid w:val="00132F94"/>
    <w:rsid w:val="00137061"/>
    <w:rsid w:val="00141A2F"/>
    <w:rsid w:val="00146942"/>
    <w:rsid w:val="00150352"/>
    <w:rsid w:val="001554E1"/>
    <w:rsid w:val="00164F8A"/>
    <w:rsid w:val="00167C8B"/>
    <w:rsid w:val="0018404B"/>
    <w:rsid w:val="00184A3B"/>
    <w:rsid w:val="00186FCC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1F4993"/>
    <w:rsid w:val="001F66F7"/>
    <w:rsid w:val="00205FF2"/>
    <w:rsid w:val="00211F34"/>
    <w:rsid w:val="00212BFB"/>
    <w:rsid w:val="00213322"/>
    <w:rsid w:val="00223E91"/>
    <w:rsid w:val="002251E2"/>
    <w:rsid w:val="00234035"/>
    <w:rsid w:val="002356FE"/>
    <w:rsid w:val="00245E5F"/>
    <w:rsid w:val="002526FC"/>
    <w:rsid w:val="00271A7A"/>
    <w:rsid w:val="00273160"/>
    <w:rsid w:val="002778F8"/>
    <w:rsid w:val="002863BE"/>
    <w:rsid w:val="00291150"/>
    <w:rsid w:val="0029794D"/>
    <w:rsid w:val="002B0199"/>
    <w:rsid w:val="002B40C1"/>
    <w:rsid w:val="002B5AC7"/>
    <w:rsid w:val="002D11E8"/>
    <w:rsid w:val="002D56F1"/>
    <w:rsid w:val="002E05F8"/>
    <w:rsid w:val="002F1A7B"/>
    <w:rsid w:val="002F4057"/>
    <w:rsid w:val="00324663"/>
    <w:rsid w:val="00324EC1"/>
    <w:rsid w:val="00325193"/>
    <w:rsid w:val="003332C2"/>
    <w:rsid w:val="00344FFF"/>
    <w:rsid w:val="00351ED8"/>
    <w:rsid w:val="0035688E"/>
    <w:rsid w:val="003573EA"/>
    <w:rsid w:val="00357A2E"/>
    <w:rsid w:val="003600E4"/>
    <w:rsid w:val="00374DFE"/>
    <w:rsid w:val="00382172"/>
    <w:rsid w:val="00396614"/>
    <w:rsid w:val="003A7D93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0377"/>
    <w:rsid w:val="00423948"/>
    <w:rsid w:val="00431225"/>
    <w:rsid w:val="00433499"/>
    <w:rsid w:val="0043599B"/>
    <w:rsid w:val="0044067B"/>
    <w:rsid w:val="004407B7"/>
    <w:rsid w:val="00446715"/>
    <w:rsid w:val="00447A79"/>
    <w:rsid w:val="00450EE6"/>
    <w:rsid w:val="004526F2"/>
    <w:rsid w:val="004538A5"/>
    <w:rsid w:val="00465930"/>
    <w:rsid w:val="00466297"/>
    <w:rsid w:val="00482921"/>
    <w:rsid w:val="004864FF"/>
    <w:rsid w:val="004870C4"/>
    <w:rsid w:val="004911F0"/>
    <w:rsid w:val="004944F3"/>
    <w:rsid w:val="004B453B"/>
    <w:rsid w:val="004B53C2"/>
    <w:rsid w:val="004C4149"/>
    <w:rsid w:val="004C7755"/>
    <w:rsid w:val="004D10AC"/>
    <w:rsid w:val="004D7CB3"/>
    <w:rsid w:val="004F1705"/>
    <w:rsid w:val="0050386B"/>
    <w:rsid w:val="00511D1D"/>
    <w:rsid w:val="00524DEF"/>
    <w:rsid w:val="005425E8"/>
    <w:rsid w:val="00543CC9"/>
    <w:rsid w:val="005502BC"/>
    <w:rsid w:val="005658E5"/>
    <w:rsid w:val="0057270A"/>
    <w:rsid w:val="00573D3B"/>
    <w:rsid w:val="00582627"/>
    <w:rsid w:val="005961B6"/>
    <w:rsid w:val="005962BB"/>
    <w:rsid w:val="005974B4"/>
    <w:rsid w:val="005A5E8D"/>
    <w:rsid w:val="005B111B"/>
    <w:rsid w:val="005B1A14"/>
    <w:rsid w:val="005B2CAA"/>
    <w:rsid w:val="005C4C33"/>
    <w:rsid w:val="005D25B1"/>
    <w:rsid w:val="005F0FBF"/>
    <w:rsid w:val="00602F4C"/>
    <w:rsid w:val="00603527"/>
    <w:rsid w:val="00605ED0"/>
    <w:rsid w:val="00617AF2"/>
    <w:rsid w:val="00624033"/>
    <w:rsid w:val="00627B89"/>
    <w:rsid w:val="00635F81"/>
    <w:rsid w:val="00645820"/>
    <w:rsid w:val="00661E4A"/>
    <w:rsid w:val="006636B8"/>
    <w:rsid w:val="006704E2"/>
    <w:rsid w:val="006723E5"/>
    <w:rsid w:val="00673E48"/>
    <w:rsid w:val="006859F4"/>
    <w:rsid w:val="00686BD8"/>
    <w:rsid w:val="006A004B"/>
    <w:rsid w:val="006B71D1"/>
    <w:rsid w:val="006C02F4"/>
    <w:rsid w:val="006E197A"/>
    <w:rsid w:val="006F165D"/>
    <w:rsid w:val="00703884"/>
    <w:rsid w:val="00707351"/>
    <w:rsid w:val="007073A3"/>
    <w:rsid w:val="00707AA6"/>
    <w:rsid w:val="00723846"/>
    <w:rsid w:val="007360E1"/>
    <w:rsid w:val="00742B91"/>
    <w:rsid w:val="007535B9"/>
    <w:rsid w:val="00770595"/>
    <w:rsid w:val="00776C52"/>
    <w:rsid w:val="00780251"/>
    <w:rsid w:val="0079739E"/>
    <w:rsid w:val="007A71B8"/>
    <w:rsid w:val="007B5166"/>
    <w:rsid w:val="007B64FF"/>
    <w:rsid w:val="007C22EF"/>
    <w:rsid w:val="007E6858"/>
    <w:rsid w:val="007F4309"/>
    <w:rsid w:val="007F5C1E"/>
    <w:rsid w:val="00813B58"/>
    <w:rsid w:val="00820439"/>
    <w:rsid w:val="008342DA"/>
    <w:rsid w:val="0084237A"/>
    <w:rsid w:val="0085045C"/>
    <w:rsid w:val="008506D8"/>
    <w:rsid w:val="00862137"/>
    <w:rsid w:val="00872144"/>
    <w:rsid w:val="00872AA7"/>
    <w:rsid w:val="00872FC8"/>
    <w:rsid w:val="00874984"/>
    <w:rsid w:val="00891BDC"/>
    <w:rsid w:val="008A73FB"/>
    <w:rsid w:val="008C77BB"/>
    <w:rsid w:val="008D01C6"/>
    <w:rsid w:val="008D4372"/>
    <w:rsid w:val="008D5A98"/>
    <w:rsid w:val="008D7487"/>
    <w:rsid w:val="008E177B"/>
    <w:rsid w:val="008E3361"/>
    <w:rsid w:val="008F4145"/>
    <w:rsid w:val="00903888"/>
    <w:rsid w:val="00917E13"/>
    <w:rsid w:val="00925FF4"/>
    <w:rsid w:val="009277C7"/>
    <w:rsid w:val="0093549A"/>
    <w:rsid w:val="0095045C"/>
    <w:rsid w:val="0096607E"/>
    <w:rsid w:val="00981659"/>
    <w:rsid w:val="0099771B"/>
    <w:rsid w:val="009A4077"/>
    <w:rsid w:val="009C09EA"/>
    <w:rsid w:val="009C2877"/>
    <w:rsid w:val="009C4020"/>
    <w:rsid w:val="009D070F"/>
    <w:rsid w:val="009D45F8"/>
    <w:rsid w:val="009D4C6A"/>
    <w:rsid w:val="009F2EA6"/>
    <w:rsid w:val="00A1570E"/>
    <w:rsid w:val="00A24673"/>
    <w:rsid w:val="00A31F07"/>
    <w:rsid w:val="00A3453C"/>
    <w:rsid w:val="00A40ED9"/>
    <w:rsid w:val="00A47DAD"/>
    <w:rsid w:val="00A706CD"/>
    <w:rsid w:val="00A74778"/>
    <w:rsid w:val="00A763A3"/>
    <w:rsid w:val="00A77239"/>
    <w:rsid w:val="00A81420"/>
    <w:rsid w:val="00A840CB"/>
    <w:rsid w:val="00A860C2"/>
    <w:rsid w:val="00AA0CE2"/>
    <w:rsid w:val="00AA781A"/>
    <w:rsid w:val="00AC1A0E"/>
    <w:rsid w:val="00AC2A1C"/>
    <w:rsid w:val="00AC390C"/>
    <w:rsid w:val="00AD035B"/>
    <w:rsid w:val="00AF29D7"/>
    <w:rsid w:val="00B015CF"/>
    <w:rsid w:val="00B0562E"/>
    <w:rsid w:val="00B1174B"/>
    <w:rsid w:val="00B276DD"/>
    <w:rsid w:val="00B52599"/>
    <w:rsid w:val="00B53430"/>
    <w:rsid w:val="00B6089B"/>
    <w:rsid w:val="00B6551D"/>
    <w:rsid w:val="00B72116"/>
    <w:rsid w:val="00B820D6"/>
    <w:rsid w:val="00B82EFD"/>
    <w:rsid w:val="00B875F8"/>
    <w:rsid w:val="00B9660D"/>
    <w:rsid w:val="00B97614"/>
    <w:rsid w:val="00BB6292"/>
    <w:rsid w:val="00BB6296"/>
    <w:rsid w:val="00BB65F2"/>
    <w:rsid w:val="00BF4D22"/>
    <w:rsid w:val="00BF7A64"/>
    <w:rsid w:val="00C1411E"/>
    <w:rsid w:val="00C24168"/>
    <w:rsid w:val="00C2741E"/>
    <w:rsid w:val="00C36B5B"/>
    <w:rsid w:val="00C401BF"/>
    <w:rsid w:val="00C43A99"/>
    <w:rsid w:val="00C446AC"/>
    <w:rsid w:val="00C4741F"/>
    <w:rsid w:val="00C52C64"/>
    <w:rsid w:val="00C55B20"/>
    <w:rsid w:val="00C57C01"/>
    <w:rsid w:val="00C65B19"/>
    <w:rsid w:val="00C67C0F"/>
    <w:rsid w:val="00C74543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0787C"/>
    <w:rsid w:val="00D120E0"/>
    <w:rsid w:val="00D24B09"/>
    <w:rsid w:val="00D457E4"/>
    <w:rsid w:val="00D45AAB"/>
    <w:rsid w:val="00D63827"/>
    <w:rsid w:val="00D66AAC"/>
    <w:rsid w:val="00D7432D"/>
    <w:rsid w:val="00D8398D"/>
    <w:rsid w:val="00DB78F9"/>
    <w:rsid w:val="00DB7DE1"/>
    <w:rsid w:val="00DC06EC"/>
    <w:rsid w:val="00DC6EA5"/>
    <w:rsid w:val="00DD7333"/>
    <w:rsid w:val="00DE15BC"/>
    <w:rsid w:val="00DE31C4"/>
    <w:rsid w:val="00DE33C3"/>
    <w:rsid w:val="00DF3147"/>
    <w:rsid w:val="00DF5D18"/>
    <w:rsid w:val="00E0087C"/>
    <w:rsid w:val="00E00E9A"/>
    <w:rsid w:val="00E10FC4"/>
    <w:rsid w:val="00E13545"/>
    <w:rsid w:val="00E1595F"/>
    <w:rsid w:val="00E2142C"/>
    <w:rsid w:val="00E230CF"/>
    <w:rsid w:val="00E271F1"/>
    <w:rsid w:val="00E366BB"/>
    <w:rsid w:val="00E53F8E"/>
    <w:rsid w:val="00E627C4"/>
    <w:rsid w:val="00E717BB"/>
    <w:rsid w:val="00E7192E"/>
    <w:rsid w:val="00E7604F"/>
    <w:rsid w:val="00E825FE"/>
    <w:rsid w:val="00E85EC1"/>
    <w:rsid w:val="00EA12DB"/>
    <w:rsid w:val="00EA648C"/>
    <w:rsid w:val="00EB1DCD"/>
    <w:rsid w:val="00EC3FA1"/>
    <w:rsid w:val="00EC7F85"/>
    <w:rsid w:val="00ED1F88"/>
    <w:rsid w:val="00EE0A51"/>
    <w:rsid w:val="00EF683F"/>
    <w:rsid w:val="00F01ED4"/>
    <w:rsid w:val="00F15A90"/>
    <w:rsid w:val="00F2705F"/>
    <w:rsid w:val="00F36394"/>
    <w:rsid w:val="00F434BE"/>
    <w:rsid w:val="00F454E0"/>
    <w:rsid w:val="00F50C16"/>
    <w:rsid w:val="00F54C78"/>
    <w:rsid w:val="00F577FC"/>
    <w:rsid w:val="00F61CB6"/>
    <w:rsid w:val="00F7357E"/>
    <w:rsid w:val="00F7607E"/>
    <w:rsid w:val="00F76AE5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ipos-goor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79CD-C00E-46D0-996D-CF02FBCC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30</Pages>
  <Words>5423</Words>
  <Characters>37422</Characters>
  <Application>Microsoft Office Word</Application>
  <DocSecurity>0</DocSecurity>
  <Lines>311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Windows-felhasználó</cp:lastModifiedBy>
  <cp:revision>96</cp:revision>
  <cp:lastPrinted>2018-01-19T06:09:00Z</cp:lastPrinted>
  <dcterms:created xsi:type="dcterms:W3CDTF">2017-09-08T07:16:00Z</dcterms:created>
  <dcterms:modified xsi:type="dcterms:W3CDTF">2018-01-19T11:33:00Z</dcterms:modified>
</cp:coreProperties>
</file>