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F942A0" w:rsidRDefault="00B361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r w:rsidRPr="00B361C9">
        <w:rPr>
          <w:rFonts w:ascii="Times New Roman" w:eastAsia="Times New Roman" w:hAnsi="Times New Roman" w:cs="Times New Roman"/>
          <w:sz w:val="48"/>
          <w:szCs w:val="48"/>
        </w:rPr>
        <w:t xml:space="preserve">Tatabányai Szakképzési Centrum </w:t>
      </w:r>
      <w:r w:rsidR="00C31013">
        <w:rPr>
          <w:rFonts w:ascii="Times New Roman" w:eastAsia="Times New Roman" w:hAnsi="Times New Roman" w:cs="Times New Roman"/>
          <w:sz w:val="48"/>
          <w:szCs w:val="48"/>
        </w:rPr>
        <w:t>Eötvös Loránd Szakgimnáziuma és szakközépiskolája</w:t>
      </w:r>
      <w:r w:rsidRPr="00B361C9">
        <w:rPr>
          <w:rFonts w:ascii="Times New Roman" w:eastAsia="Times New Roman" w:hAnsi="Times New Roman" w:cs="Times New Roman"/>
          <w:sz w:val="48"/>
          <w:szCs w:val="48"/>
        </w:rPr>
        <w:t xml:space="preserve"> részére – Iskolabútorok beszerzése (2017)”</w:t>
      </w:r>
    </w:p>
    <w:p w:rsidR="00B361C9" w:rsidRDefault="00B361C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B361C9" w:rsidRDefault="00B361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2017. évi költségvetése alapján és az ellátandó feladatok ismeretében - p</w:t>
      </w:r>
      <w:r w:rsidR="00B361C9">
        <w:rPr>
          <w:rFonts w:ascii="Times New Roman" w:eastAsia="Times New Roman" w:hAnsi="Times New Roman" w:cs="Times New Roman"/>
          <w:sz w:val="24"/>
          <w:szCs w:val="24"/>
        </w:rPr>
        <w:t xml:space="preserve">ályázati eljárást folytat le a </w:t>
      </w:r>
      <w:r w:rsidR="00B361C9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proofErr w:type="spellStart"/>
      <w:proofErr w:type="gramStart"/>
      <w:r w:rsidR="00B361C9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spellEnd"/>
      <w:proofErr w:type="gramEnd"/>
      <w:r w:rsidR="00B361C9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Tatabányai Szakképzési Centrum </w:t>
      </w:r>
      <w:r w:rsidR="00C31013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361C9" w:rsidRPr="00B361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B361C9"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0388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Tatabányai Szakképzési Centrum</w:t>
      </w:r>
      <w:r w:rsidR="00B3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13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B361C9">
        <w:rPr>
          <w:rFonts w:ascii="Times New Roman" w:eastAsia="Times New Roman" w:hAnsi="Times New Roman" w:cs="Times New Roman"/>
          <w:sz w:val="24"/>
          <w:szCs w:val="24"/>
        </w:rPr>
        <w:t xml:space="preserve"> korszerű, új bútorok beszerzése a tanulók és oktatók részére.</w:t>
      </w:r>
    </w:p>
    <w:p w:rsidR="00EC3FA1" w:rsidRDefault="001871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>beszerezni kívánt</w:t>
      </w:r>
      <w:r w:rsidR="00B361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bútorok megnevezése</w:t>
      </w: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03F6E" w:rsidRPr="00C31013" w:rsidRDefault="00C31013" w:rsidP="00EC3FA1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13">
        <w:rPr>
          <w:rFonts w:ascii="Times New Roman" w:eastAsia="Times New Roman" w:hAnsi="Times New Roman" w:cs="Times New Roman"/>
          <w:sz w:val="24"/>
          <w:szCs w:val="24"/>
        </w:rPr>
        <w:t>150 darab tanulói szék</w:t>
      </w: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29794D" w:rsidRDefault="002979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</w:p>
    <w:p w:rsidR="009C4020" w:rsidRDefault="009C40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E4169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Centrum, mint Ajánlatkérő 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C4020" w:rsidRDefault="00935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5962BB" w:rsidRPr="00C31013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C31013" w:rsidRPr="00C310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31013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</w:p>
    <w:p w:rsidR="006723E5" w:rsidRDefault="00935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3">
        <w:rPr>
          <w:rFonts w:ascii="Times New Roman" w:eastAsia="Times New Roman" w:hAnsi="Times New Roman" w:cs="Times New Roman"/>
          <w:sz w:val="24"/>
          <w:szCs w:val="24"/>
        </w:rPr>
        <w:t>2840 Oroszlány, Asztalos u. 2.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31013">
        <w:rPr>
          <w:rFonts w:ascii="Times New Roman" w:eastAsia="Times New Roman" w:hAnsi="Times New Roman" w:cs="Times New Roman"/>
          <w:sz w:val="24"/>
          <w:szCs w:val="24"/>
        </w:rPr>
        <w:t>Grúber</w:t>
      </w:r>
      <w:proofErr w:type="spellEnd"/>
      <w:r w:rsidR="00C31013">
        <w:rPr>
          <w:rFonts w:ascii="Times New Roman" w:eastAsia="Times New Roman" w:hAnsi="Times New Roman" w:cs="Times New Roman"/>
          <w:sz w:val="24"/>
          <w:szCs w:val="24"/>
        </w:rPr>
        <w:t xml:space="preserve"> György - igazgató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3">
        <w:rPr>
          <w:rFonts w:ascii="Times New Roman" w:eastAsia="Times New Roman" w:hAnsi="Times New Roman" w:cs="Times New Roman"/>
          <w:sz w:val="24"/>
          <w:szCs w:val="24"/>
        </w:rPr>
        <w:t>06 34 361-600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3">
        <w:rPr>
          <w:rFonts w:ascii="Times New Roman" w:eastAsia="Times New Roman" w:hAnsi="Times New Roman" w:cs="Times New Roman"/>
          <w:sz w:val="24"/>
          <w:szCs w:val="24"/>
        </w:rPr>
        <w:t>gyorgy.gruber@gmail.com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h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onlap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C31013">
        <w:rPr>
          <w:rFonts w:ascii="Times New Roman" w:eastAsia="Times New Roman" w:hAnsi="Times New Roman" w:cs="Times New Roman"/>
          <w:sz w:val="24"/>
          <w:szCs w:val="24"/>
        </w:rPr>
        <w:t>szakkepzes.oroszlany.hu</w:t>
      </w: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2./ A pályázat tárgya: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ab/>
      </w:r>
      <w:r w:rsidR="00C31013">
        <w:rPr>
          <w:rFonts w:ascii="Times New Roman" w:eastAsia="Times New Roman" w:hAnsi="Times New Roman" w:cs="Times New Roman"/>
          <w:sz w:val="24"/>
          <w:szCs w:val="24"/>
        </w:rPr>
        <w:tab/>
        <w:t>150 darab tanulói szék beszerzése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A053AA">
        <w:rPr>
          <w:rFonts w:ascii="Times New Roman" w:eastAsia="Times New Roman" w:hAnsi="Times New Roman" w:cs="Times New Roman"/>
          <w:sz w:val="24"/>
          <w:szCs w:val="24"/>
        </w:rPr>
        <w:t xml:space="preserve">fenntartásában álló tagintézményében 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>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B453B" w:rsidP="00E416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5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41699" w:rsidRPr="00E41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Tatabányai Szakképzési Centrum </w:t>
      </w:r>
      <w:r w:rsidR="00C31013" w:rsidRPr="00C310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Eötvös Loránd Szakgimnáziuma és Szakközépiskolája</w:t>
      </w:r>
      <w:r w:rsidR="00C31013" w:rsidRPr="00E41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41699" w:rsidRPr="00E41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részére – Iskolabútorok beszerzése (2017)”</w:t>
      </w:r>
      <w:r w:rsidR="00E41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 xml:space="preserve"> 150 darab tanulói szék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3.1./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nem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</w:t>
      </w:r>
      <w:r w:rsidR="00A05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proofErr w:type="gramStart"/>
      <w:r w:rsidR="004B453B">
        <w:rPr>
          <w:rFonts w:ascii="Times New Roman" w:eastAsia="Times New Roman" w:hAnsi="Times New Roman" w:cs="Times New Roman"/>
          <w:sz w:val="24"/>
          <w:szCs w:val="24"/>
        </w:rPr>
        <w:t>)típus</w:t>
      </w:r>
      <w:proofErr w:type="gramEnd"/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meghatározása:</w:t>
      </w:r>
    </w:p>
    <w:p w:rsidR="006723E5" w:rsidRDefault="005F0F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>december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34D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234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5045C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C31013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</w:p>
    <w:p w:rsidR="00396614" w:rsidRDefault="00AC390C" w:rsidP="00396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>2840 Oroszlány, Asztalos u. 2.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által megalkotott 2017. évi költségvetésben - meghatározott 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  <w:bookmarkStart w:id="0" w:name="_GoBack"/>
      <w:bookmarkEnd w:id="0"/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proofErr w:type="spellStart"/>
      <w:r w:rsidR="005962BB">
        <w:rPr>
          <w:rFonts w:ascii="Times New Roman" w:eastAsia="Times New Roman" w:hAnsi="Times New Roman" w:cs="Times New Roman"/>
          <w:sz w:val="24"/>
          <w:szCs w:val="24"/>
        </w:rPr>
        <w:t>teljeskörű</w:t>
      </w:r>
      <w:proofErr w:type="spellEnd"/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 xml:space="preserve">előleget 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>fizethet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3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70735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Default="00DB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>. december 13.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</w:p>
    <w:p w:rsidR="00287DDE" w:rsidRDefault="00D66A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Pontos cím: </w:t>
      </w:r>
      <w:r w:rsidR="00C31013">
        <w:rPr>
          <w:rFonts w:ascii="Times New Roman" w:eastAsia="Times New Roman" w:hAnsi="Times New Roman" w:cs="Times New Roman"/>
          <w:sz w:val="24"/>
          <w:szCs w:val="24"/>
        </w:rPr>
        <w:t>2840 Oroszlány, Asztalos u. 2.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pályázatok leadásának időtartama, személyesen: </w:t>
      </w:r>
      <w:r w:rsidRPr="00C31013">
        <w:rPr>
          <w:rFonts w:ascii="Times New Roman" w:eastAsia="Times New Roman" w:hAnsi="Times New Roman" w:cs="Times New Roman"/>
          <w:sz w:val="24"/>
          <w:szCs w:val="24"/>
        </w:rPr>
        <w:t>hétfő</w:t>
      </w:r>
      <w:r w:rsidR="00374DFE" w:rsidRPr="00C31013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 w:rsidRPr="00C31013"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 w:rsidRPr="00C31013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 w:rsidRPr="00C31013"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 w:rsidRPr="00C31013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 w:rsidRPr="00C31013"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16./ A pályázatok benyújtásának, felbontá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>sának szabályai, ideje, helye: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16.1./ A pályázatot cégszerűen aláírva, 2 példányban (egy eredeti és egy, az eredetivel mindenben azonos tartalmú másolati példányban) roncsolás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mentesen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nem bontható kötésben, folyamatos oldalszámozással és tartalomjegyzékkel ellátva, zárt csomagolásban, a „</w:t>
      </w:r>
      <w:r w:rsidR="00405EB5" w:rsidRPr="00405E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405E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05EB5" w:rsidRPr="00405EB5">
        <w:rPr>
          <w:rFonts w:ascii="Times New Roman" w:eastAsia="Times New Roman" w:hAnsi="Times New Roman" w:cs="Times New Roman"/>
          <w:color w:val="auto"/>
          <w:sz w:val="24"/>
          <w:szCs w:val="24"/>
        </w:rPr>
        <w:t>részére – Iskolabútorok beszerzése (2017)”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felirat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csomagoláson való feltüntetésével kell benyújtani.  </w:t>
      </w:r>
    </w:p>
    <w:p w:rsidR="006723E5" w:rsidRDefault="00872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="005713DC">
        <w:rPr>
          <w:rFonts w:ascii="Times New Roman" w:eastAsia="Times New Roman" w:hAnsi="Times New Roman" w:cs="Times New Roman"/>
          <w:sz w:val="24"/>
          <w:szCs w:val="24"/>
        </w:rPr>
        <w:t>december 14 09:00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 xml:space="preserve">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ajánlatok felbontásának helye: </w:t>
      </w:r>
      <w:r w:rsidRPr="005713DC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F15A90" w:rsidRPr="00571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3DC" w:rsidRP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Loránd Szakgimnáziuma és Szakközépiskolája</w:t>
      </w:r>
      <w:r w:rsidR="005713DC">
        <w:rPr>
          <w:rFonts w:ascii="Times New Roman" w:eastAsia="Times New Roman" w:hAnsi="Times New Roman" w:cs="Times New Roman"/>
          <w:sz w:val="24"/>
          <w:szCs w:val="24"/>
        </w:rPr>
        <w:t>, 2840 Oroszlány, Asztalos u 2, Igazgatói iroda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tényéről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16.7./ A határidőben, sértetlen csomagolásban benyújtott pályázatokat az Ajánlatkérő más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zett időpontja: 2017. 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5713D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rvezett időpontja: 2017. 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>december 15.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571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Molnár István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gyakorlatioktatás-vezető</w:t>
      </w:r>
    </w:p>
    <w:p w:rsidR="006723E5" w:rsidRDefault="00287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3DC">
        <w:rPr>
          <w:rFonts w:ascii="Times New Roman" w:eastAsia="Times New Roman" w:hAnsi="Times New Roman" w:cs="Times New Roman"/>
          <w:sz w:val="24"/>
          <w:szCs w:val="24"/>
        </w:rPr>
        <w:t>06 30 552-2707</w:t>
      </w:r>
    </w:p>
    <w:p w:rsidR="006723E5" w:rsidRDefault="00571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molnarpityu86@gmail.com</w:t>
      </w:r>
      <w:hyperlink r:id="rId9" w:history="1"/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.8./ A pályázati eljárással kapcsolatban, az Ajánlatkérő részéről döntéshozó képviselő: </w:t>
      </w:r>
    </w:p>
    <w:p w:rsidR="00DF3147" w:rsidRDefault="002F1A7B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Berczellyné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Nagy Marianna 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– 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központja- főigazgató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06(34)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 xml:space="preserve"> 517-148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keretösszegen belüli annak ajánlata.  </w:t>
      </w:r>
    </w:p>
    <w:p w:rsidR="002F1A7B" w:rsidRDefault="002F1A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Ptk-ban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 pályázati felhívás an</w:t>
      </w:r>
      <w:r w:rsidR="00D01F98">
        <w:rPr>
          <w:rFonts w:ascii="Times New Roman" w:eastAsia="Times New Roman" w:hAnsi="Times New Roman" w:cs="Times New Roman"/>
          <w:sz w:val="24"/>
          <w:szCs w:val="24"/>
        </w:rPr>
        <w:t xml:space="preserve">yaga elfogadásának határnapja: 2017. </w:t>
      </w:r>
      <w:r w:rsidR="00287DDE">
        <w:rPr>
          <w:rFonts w:ascii="Times New Roman" w:eastAsia="Times New Roman" w:hAnsi="Times New Roman" w:cs="Times New Roman"/>
          <w:sz w:val="24"/>
          <w:szCs w:val="24"/>
        </w:rPr>
        <w:t>december 10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2017. </w:t>
      </w:r>
      <w:r w:rsidR="005713DC">
        <w:rPr>
          <w:rFonts w:ascii="Times New Roman" w:eastAsia="Times New Roman" w:hAnsi="Times New Roman" w:cs="Times New Roman"/>
          <w:sz w:val="24"/>
          <w:szCs w:val="24"/>
        </w:rPr>
        <w:t>december 06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5713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Grúber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György - igazgató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6723E5" w:rsidRDefault="0010042E" w:rsidP="002F1A7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Tatabányai Szakképzési Centrum </w:t>
            </w:r>
            <w:r w:rsidR="005713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Eötvös Loránd Szakgimnáziuma és Szakközépiskolája</w:t>
            </w:r>
            <w:r w:rsidR="005713DC" w:rsidRPr="0010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42E">
              <w:rPr>
                <w:rFonts w:ascii="Times New Roman" w:eastAsia="Times New Roman" w:hAnsi="Times New Roman" w:cs="Times New Roman"/>
                <w:sz w:val="24"/>
                <w:szCs w:val="24"/>
              </w:rPr>
              <w:t>részére – Iskolabútorok beszerzése (2017)”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042E" w:rsidRDefault="001004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10042E" w:rsidRDefault="00100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6723E5" w:rsidRDefault="001004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székhelye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Általános forgalmi adó összege (2017. évi szabályozást alapul véve)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…………………………...nap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</w:t>
      </w:r>
      <w:r w:rsidR="0010042E">
        <w:rPr>
          <w:rFonts w:ascii="Times New Roman" w:eastAsia="Times New Roman" w:hAnsi="Times New Roman" w:cs="Times New Roman"/>
          <w:sz w:val="24"/>
          <w:szCs w:val="24"/>
        </w:rPr>
        <w:t>olatos, valamennyi költséget.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1004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10042E" w:rsidRDefault="001004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2F1A7B" w:rsidRDefault="0010042E" w:rsidP="002F1A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2F1A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feladat(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603527" w:rsidRDefault="007F37D3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3332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Közös ajánlattevő feladatai: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Közös ajánlattevő feladatai: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……………………………………………. teljes joggal jogosult.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F37D3" w:rsidRDefault="007F37D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7F37D3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6035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nyilatkozattal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 xml:space="preserve">lkalmazni a 19. § 1. pontjában </w:t>
      </w:r>
      <w:r>
        <w:rPr>
          <w:rFonts w:ascii="Times New Roman" w:eastAsia="Times New Roman" w:hAnsi="Times New Roman" w:cs="Times New Roman"/>
          <w:sz w:val="24"/>
          <w:szCs w:val="24"/>
        </w:rPr>
        <w:t>meghatározott befek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7F37D3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18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>g egyetlen esete sem áll fenn.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</w:p>
    <w:p w:rsidR="00F36394" w:rsidRDefault="00F363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7F37D3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6035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Cégjegyzésre jogosult </w:t>
            </w:r>
            <w:proofErr w:type="gramStart"/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képviselő(</w:t>
            </w:r>
            <w:proofErr w:type="gramEnd"/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  <w:proofErr w:type="gramEnd"/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F37D3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7F37D3" w:rsidRDefault="00F36394" w:rsidP="007F37D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7F37D3"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7F37D3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beszerzése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6723E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a büntető törvénykönyv szerinti bűnszervezetben részvétel – ideértve bűncselekmény bűnszervezetben történő elkövetését is – vesztegetés,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vesztegetés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F37D3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7F37D3" w:rsidRDefault="007F37D3" w:rsidP="007F37D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7F37D3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Az ajánlattevő vonatkozásában a rendezett munkaügyi kapcsolatok követelménye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munkavállaló(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7F37D3" w:rsidRDefault="007F37D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5962BB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eljárásban szereplő szerződés-tervezetet elfogadjuk és nyertességünk esetén – szerződésszerűen, maradéktalanul teljesítjük.   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7D3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>égszerű</w:t>
      </w:r>
      <w:proofErr w:type="gramEnd"/>
      <w:r w:rsidR="007F37D3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7F37D3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4D10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Felhívásban és a Pályázati Dokumentációban meghatározott tartalmi és formai követelményeknek megfelelően állítottuk össze.  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Pályázati Felhívás feltételeit elfogadjuk. </w:t>
      </w:r>
    </w:p>
    <w:p w:rsidR="00605ED0" w:rsidRDefault="00605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 tárgyát képező feladat nagyságrendjének teljes tudatában vagyunk, a szolgáltatást a tárgyi pályázatban kiírt teljes hálózatra vonatkozólag folyamatosan, a szerződésben elvárt és meghatározott minőségben és színvonalon biztosítani tudjuk.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7D3" w:rsidRDefault="007F37D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225" w:rsidRDefault="004312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7F37D3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F37D3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 w:rsidR="007F37D3"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2D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pályázatunk vonatkozásában a Pályázati Felhívásban meghatározott meghiúsulási és késedelmi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kötbér fizetési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F37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7F37D3" w:rsidRDefault="007F37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7F37D3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7F37D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vagy jogosan anna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F37D3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6723E5" w:rsidRDefault="007F37D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ED19B4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Iskolabútorok beszerzése (2017)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788"/>
        <w:gridCol w:w="1105"/>
        <w:gridCol w:w="1105"/>
        <w:gridCol w:w="2019"/>
        <w:gridCol w:w="1465"/>
      </w:tblGrid>
      <w:tr w:rsidR="006723E5" w:rsidTr="00007AC5">
        <w:trPr>
          <w:jc w:val="center"/>
        </w:trPr>
        <w:tc>
          <w:tcPr>
            <w:tcW w:w="1580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tárgya és ennek körében végzett tevékenységek felsorolása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Ellenszolgáltatás nettó összege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ideje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helye </w:t>
            </w:r>
          </w:p>
        </w:tc>
        <w:tc>
          <w:tcPr>
            <w:tcW w:w="2019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és kapcsolattartójának megnevezése, címe, telefonszáma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5962B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Ajánlattevő részvételi aránya és saját teljesítésének ellenértéke </w:t>
            </w:r>
          </w:p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007AC5">
        <w:trPr>
          <w:jc w:val="center"/>
        </w:trPr>
        <w:tc>
          <w:tcPr>
            <w:tcW w:w="158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ED19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9B4" w:rsidRDefault="00ED19B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ED19B4" w:rsidRDefault="00ED19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ED19B4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Tatabányai Szakképzési Centrum </w:t>
      </w:r>
      <w:r w:rsidR="005713DC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 Szakgimnáziuma és Szakközépiskolája</w:t>
      </w:r>
      <w:r w:rsidR="005713DC"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részére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Iskolabútorok beszerzése (2017)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ajánlattételi határidőt megelőző 3 üzleti évben - általános forgalmi adó nélkül számított – teljes árbevételünk az alábbi összeg volt*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ED19B4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ED19B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A KÍSÉRŐLEVÉL ALAPJÁN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4762"/>
        <w:gridCol w:w="1701"/>
        <w:gridCol w:w="1275"/>
      </w:tblGrid>
      <w:tr w:rsidR="00146942" w:rsidRPr="00E95E46" w:rsidTr="00146942">
        <w:trPr>
          <w:trHeight w:val="476"/>
          <w:jc w:val="center"/>
        </w:trPr>
        <w:tc>
          <w:tcPr>
            <w:tcW w:w="1050" w:type="dxa"/>
          </w:tcPr>
          <w:p w:rsidR="00146942" w:rsidRPr="00E95E46" w:rsidRDefault="00F90283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Sor</w:t>
            </w:r>
            <w:r w:rsidR="00146942" w:rsidRPr="00E95E46">
              <w:rPr>
                <w:rFonts w:asciiTheme="minorHAnsi" w:hAnsiTheme="minorHAnsi" w:cstheme="minorHAnsi"/>
                <w:sz w:val="22"/>
                <w:szCs w:val="22"/>
              </w:rPr>
              <w:t>szám</w:t>
            </w:r>
          </w:p>
        </w:tc>
        <w:tc>
          <w:tcPr>
            <w:tcW w:w="4762" w:type="dxa"/>
          </w:tcPr>
          <w:p w:rsidR="00146942" w:rsidRPr="00E95E46" w:rsidRDefault="00146942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E46">
              <w:rPr>
                <w:rFonts w:asciiTheme="minorHAnsi" w:hAnsiTheme="minorHAnsi" w:cstheme="minorHAnsi"/>
                <w:sz w:val="22"/>
                <w:szCs w:val="22"/>
              </w:rPr>
              <w:t>Eszköz megnevezése</w:t>
            </w:r>
          </w:p>
        </w:tc>
        <w:tc>
          <w:tcPr>
            <w:tcW w:w="1701" w:type="dxa"/>
          </w:tcPr>
          <w:p w:rsidR="00146942" w:rsidRPr="00E95E46" w:rsidRDefault="00146942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E46">
              <w:rPr>
                <w:rFonts w:asciiTheme="minorHAnsi" w:hAnsiTheme="minorHAnsi" w:cstheme="minorHAnsi"/>
                <w:sz w:val="22"/>
                <w:szCs w:val="22"/>
              </w:rPr>
              <w:t>Mennyiségi egység</w:t>
            </w:r>
          </w:p>
        </w:tc>
        <w:tc>
          <w:tcPr>
            <w:tcW w:w="1275" w:type="dxa"/>
          </w:tcPr>
          <w:p w:rsidR="00146942" w:rsidRPr="00E95E46" w:rsidRDefault="00146942" w:rsidP="001469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E46">
              <w:rPr>
                <w:rFonts w:asciiTheme="minorHAnsi" w:hAnsiTheme="minorHAnsi" w:cstheme="minorHAnsi"/>
                <w:sz w:val="22"/>
                <w:szCs w:val="22"/>
              </w:rPr>
              <w:t>Mennyiség</w:t>
            </w:r>
          </w:p>
        </w:tc>
      </w:tr>
      <w:tr w:rsidR="00146942" w:rsidRPr="00E95E46" w:rsidTr="005713DC">
        <w:trPr>
          <w:jc w:val="center"/>
        </w:trPr>
        <w:tc>
          <w:tcPr>
            <w:tcW w:w="1050" w:type="dxa"/>
          </w:tcPr>
          <w:p w:rsidR="00146942" w:rsidRPr="00E95E46" w:rsidRDefault="005713DC" w:rsidP="00571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62" w:type="dxa"/>
          </w:tcPr>
          <w:p w:rsidR="00146942" w:rsidRPr="00E95E46" w:rsidRDefault="005713DC" w:rsidP="00EC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Tanulói szék 14-20 éves korosztály (9-12 évfolyam) számára</w:t>
            </w:r>
          </w:p>
        </w:tc>
        <w:tc>
          <w:tcPr>
            <w:tcW w:w="1701" w:type="dxa"/>
            <w:vAlign w:val="center"/>
          </w:tcPr>
          <w:p w:rsidR="00146942" w:rsidRPr="00E95E46" w:rsidRDefault="00146942" w:rsidP="00571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E4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</w:p>
        </w:tc>
        <w:tc>
          <w:tcPr>
            <w:tcW w:w="1275" w:type="dxa"/>
            <w:vAlign w:val="center"/>
          </w:tcPr>
          <w:p w:rsidR="00146942" w:rsidRPr="00E95E46" w:rsidRDefault="005713DC" w:rsidP="005713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146942" w:rsidRPr="00E95E46" w:rsidTr="00146942">
        <w:trPr>
          <w:trHeight w:val="288"/>
          <w:jc w:val="center"/>
        </w:trPr>
        <w:tc>
          <w:tcPr>
            <w:tcW w:w="1050" w:type="dxa"/>
          </w:tcPr>
          <w:p w:rsidR="00146942" w:rsidRPr="00E95E46" w:rsidRDefault="005713DC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6942" w:rsidRPr="00E95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62" w:type="dxa"/>
          </w:tcPr>
          <w:p w:rsidR="00146942" w:rsidRPr="005713DC" w:rsidRDefault="005713DC" w:rsidP="00EC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Szállítási</w:t>
            </w:r>
            <w:r w:rsidR="00ED19B4" w:rsidRPr="005713DC">
              <w:rPr>
                <w:rFonts w:asciiTheme="minorHAnsi" w:hAnsiTheme="minorHAnsi" w:cstheme="minorHAnsi"/>
                <w:sz w:val="22"/>
                <w:szCs w:val="22"/>
              </w:rPr>
              <w:t xml:space="preserve"> díj</w:t>
            </w:r>
          </w:p>
        </w:tc>
        <w:tc>
          <w:tcPr>
            <w:tcW w:w="1701" w:type="dxa"/>
          </w:tcPr>
          <w:p w:rsidR="00146942" w:rsidRPr="00E95E46" w:rsidRDefault="00146942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E4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</w:p>
        </w:tc>
        <w:tc>
          <w:tcPr>
            <w:tcW w:w="1275" w:type="dxa"/>
          </w:tcPr>
          <w:p w:rsidR="00146942" w:rsidRPr="00E95E46" w:rsidRDefault="005713DC" w:rsidP="00EC7F8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proofErr w:type="gramStart"/>
      <w:r w:rsidRPr="008621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>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</w:t>
      </w:r>
      <w:proofErr w:type="gramEnd"/>
      <w:r w:rsidRPr="00862137">
        <w:rPr>
          <w:rFonts w:ascii="Times New Roman" w:hAnsi="Times New Roman" w:cs="Times New Roman"/>
          <w:color w:val="222222"/>
          <w:sz w:val="24"/>
          <w:szCs w:val="24"/>
        </w:rPr>
        <w:t>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color w:val="222222"/>
          <w:sz w:val="24"/>
          <w:szCs w:val="24"/>
        </w:rPr>
        <w:t>képviseli</w:t>
      </w:r>
      <w:proofErr w:type="gramEnd"/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E51F70" w:rsidRPr="00862137" w:rsidRDefault="00E51F70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érintett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71">
        <w:rPr>
          <w:rFonts w:ascii="Times New Roman" w:hAnsi="Times New Roman" w:cs="Times New Roman"/>
          <w:sz w:val="24"/>
          <w:szCs w:val="24"/>
        </w:rPr>
        <w:t xml:space="preserve">köznevelési intézmény megnevezése: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DC">
        <w:rPr>
          <w:rFonts w:ascii="Times New Roman" w:hAnsi="Times New Roman" w:cs="Times New Roman"/>
          <w:sz w:val="24"/>
          <w:szCs w:val="24"/>
        </w:rPr>
        <w:t xml:space="preserve">Tatabányai Szakképzési Centrum Eötvös </w:t>
      </w:r>
      <w:proofErr w:type="spellStart"/>
      <w:r w:rsidR="005713DC">
        <w:rPr>
          <w:rFonts w:ascii="Times New Roman" w:hAnsi="Times New Roman" w:cs="Times New Roman"/>
          <w:sz w:val="24"/>
          <w:szCs w:val="24"/>
        </w:rPr>
        <w:t>loránd</w:t>
      </w:r>
      <w:proofErr w:type="spellEnd"/>
      <w:r w:rsidR="005713DC">
        <w:rPr>
          <w:rFonts w:ascii="Times New Roman" w:hAnsi="Times New Roman" w:cs="Times New Roman"/>
          <w:sz w:val="24"/>
          <w:szCs w:val="24"/>
        </w:rPr>
        <w:t xml:space="preserve"> Szakgimnáziuma és Szakközépiskolája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</w:t>
      </w:r>
      <w:proofErr w:type="gramEnd"/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color w:val="222222"/>
          <w:sz w:val="24"/>
          <w:szCs w:val="24"/>
        </w:rPr>
        <w:t>előirányzat-felhasználási</w:t>
      </w:r>
      <w:proofErr w:type="gramEnd"/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másrészről </w:t>
      </w:r>
      <w:proofErr w:type="gramStart"/>
      <w:r w:rsidRPr="008621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>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proofErr w:type="gramStart"/>
      <w:r w:rsidRPr="00862137">
        <w:rPr>
          <w:i w:val="0"/>
          <w:iCs/>
          <w:szCs w:val="24"/>
        </w:rPr>
        <w:t>cégnév</w:t>
      </w:r>
      <w:proofErr w:type="gramEnd"/>
      <w:r w:rsidRPr="00862137">
        <w:rPr>
          <w:i w:val="0"/>
          <w:iCs/>
          <w:szCs w:val="24"/>
        </w:rPr>
        <w:t>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iCs/>
          <w:sz w:val="24"/>
          <w:szCs w:val="24"/>
        </w:rPr>
        <w:t>cégjegyzékszáma</w:t>
      </w:r>
      <w:proofErr w:type="gramEnd"/>
      <w:r w:rsidRPr="00862137">
        <w:rPr>
          <w:rFonts w:ascii="Times New Roman" w:hAnsi="Times New Roman" w:cs="Times New Roman"/>
          <w:iCs/>
          <w:sz w:val="24"/>
          <w:szCs w:val="24"/>
        </w:rPr>
        <w:t>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sz w:val="24"/>
          <w:szCs w:val="24"/>
        </w:rPr>
        <w:t>adóigazgatási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iCs/>
          <w:sz w:val="24"/>
          <w:szCs w:val="24"/>
        </w:rPr>
        <w:t>pénzforgalmi</w:t>
      </w:r>
      <w:proofErr w:type="gramEnd"/>
      <w:r w:rsidRPr="00862137">
        <w:rPr>
          <w:rFonts w:ascii="Times New Roman" w:hAnsi="Times New Roman" w:cs="Times New Roman"/>
          <w:iCs/>
          <w:sz w:val="24"/>
          <w:szCs w:val="24"/>
        </w:rPr>
        <w:t xml:space="preserve">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137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="00E51F70">
        <w:rPr>
          <w:rFonts w:ascii="Times New Roman" w:hAnsi="Times New Roman" w:cs="Times New Roman"/>
          <w:b/>
          <w:sz w:val="24"/>
          <w:szCs w:val="24"/>
        </w:rPr>
        <w:t>bútorok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993"/>
        <w:gridCol w:w="708"/>
        <w:gridCol w:w="993"/>
        <w:gridCol w:w="1134"/>
      </w:tblGrid>
      <w:tr w:rsidR="00F454E0" w:rsidTr="00F454E0">
        <w:trPr>
          <w:trHeight w:val="476"/>
        </w:trPr>
        <w:tc>
          <w:tcPr>
            <w:tcW w:w="709" w:type="dxa"/>
          </w:tcPr>
          <w:p w:rsidR="00F454E0" w:rsidRPr="00E95E46" w:rsidRDefault="00F454E0" w:rsidP="00F454E0">
            <w:pPr>
              <w:ind w:left="-108" w:firstLine="2"/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3402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proofErr w:type="spellStart"/>
            <w:r w:rsidRPr="00E95E46">
              <w:rPr>
                <w:rFonts w:cstheme="minorHAnsi"/>
              </w:rPr>
              <w:t>Mennyi-ségi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proofErr w:type="spellStart"/>
            <w:r w:rsidRPr="00E95E46">
              <w:rPr>
                <w:rFonts w:cstheme="minorHAnsi"/>
              </w:rPr>
              <w:t>Mennyi-ség</w:t>
            </w:r>
            <w:proofErr w:type="spellEnd"/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F454E0" w:rsidTr="00F454E0">
        <w:tc>
          <w:tcPr>
            <w:tcW w:w="709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F454E0" w:rsidRPr="00E95E46" w:rsidRDefault="00AD003D" w:rsidP="00E41699">
            <w:pPr>
              <w:rPr>
                <w:rFonts w:cstheme="minorHAnsi"/>
              </w:rPr>
            </w:pPr>
            <w:r w:rsidRPr="00AD003D">
              <w:rPr>
                <w:rFonts w:cstheme="minorHAnsi"/>
              </w:rPr>
              <w:t>Tanulói szék 14-20 éves korosztály (9-12 évfolyam) számára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F454E0" w:rsidRPr="00E95E46" w:rsidRDefault="00AD003D" w:rsidP="00E41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</w:tr>
      <w:tr w:rsidR="00F454E0" w:rsidTr="00F454E0">
        <w:trPr>
          <w:trHeight w:val="288"/>
        </w:trPr>
        <w:tc>
          <w:tcPr>
            <w:tcW w:w="709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F454E0" w:rsidRPr="00AD003D" w:rsidRDefault="00ED19B4" w:rsidP="00E41699">
            <w:pPr>
              <w:rPr>
                <w:rFonts w:cstheme="minorHAnsi"/>
              </w:rPr>
            </w:pPr>
            <w:r w:rsidRPr="00AD003D">
              <w:rPr>
                <w:rFonts w:cstheme="minorHAnsi"/>
              </w:rPr>
              <w:t>Szállítási és szerelési díj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F454E0" w:rsidRPr="00E95E46" w:rsidRDefault="00AD003D" w:rsidP="00E41699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</w:tr>
      <w:tr w:rsidR="00F454E0" w:rsidTr="00F454E0">
        <w:trPr>
          <w:trHeight w:val="288"/>
        </w:trPr>
        <w:tc>
          <w:tcPr>
            <w:tcW w:w="709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8364" w:type="dxa"/>
            <w:gridSpan w:val="6"/>
          </w:tcPr>
          <w:p w:rsidR="00F454E0" w:rsidRPr="00E95E46" w:rsidRDefault="00F454E0" w:rsidP="00E4169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</w:tr>
      <w:tr w:rsidR="00F454E0" w:rsidTr="00F454E0">
        <w:trPr>
          <w:trHeight w:val="288"/>
        </w:trPr>
        <w:tc>
          <w:tcPr>
            <w:tcW w:w="709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8364" w:type="dxa"/>
            <w:gridSpan w:val="6"/>
          </w:tcPr>
          <w:p w:rsidR="00F454E0" w:rsidRPr="00E95E46" w:rsidRDefault="00F454E0" w:rsidP="00E4169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</w:tr>
      <w:tr w:rsidR="00F454E0" w:rsidTr="00F454E0">
        <w:trPr>
          <w:trHeight w:val="288"/>
        </w:trPr>
        <w:tc>
          <w:tcPr>
            <w:tcW w:w="709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  <w:tc>
          <w:tcPr>
            <w:tcW w:w="8364" w:type="dxa"/>
            <w:gridSpan w:val="6"/>
          </w:tcPr>
          <w:p w:rsidR="00F454E0" w:rsidRPr="00E95E46" w:rsidRDefault="00F454E0" w:rsidP="00E4169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1134" w:type="dxa"/>
          </w:tcPr>
          <w:p w:rsidR="00F454E0" w:rsidRPr="00E95E46" w:rsidRDefault="00F454E0" w:rsidP="00E41699">
            <w:pPr>
              <w:jc w:val="center"/>
              <w:rPr>
                <w:rFonts w:cstheme="minorHAnsi"/>
              </w:rPr>
            </w:pPr>
          </w:p>
        </w:tc>
      </w:tr>
    </w:tbl>
    <w:p w:rsidR="00F454E0" w:rsidRDefault="00F454E0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2./</w:t>
      </w:r>
      <w:r w:rsidRPr="00862137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3./</w:t>
      </w:r>
      <w:r w:rsidRPr="00862137">
        <w:rPr>
          <w:rFonts w:ascii="Times New Roman" w:hAnsi="Times New Roman" w:cs="Times New Roman"/>
          <w:sz w:val="24"/>
          <w:szCs w:val="24"/>
        </w:rPr>
        <w:tab/>
        <w:t>A 1./ pontban megjelölt termékek szállítása, a felek megállapodása szerint, Megrendelő írásbeli (e-mail, fax) megrendelése alapján történik. Felek rögzítik, hogy a teljesítési (szállítási) határidő a megrendeléstől 15 munkanap.</w:t>
      </w:r>
      <w:r w:rsidR="003600E4">
        <w:rPr>
          <w:rFonts w:ascii="Times New Roman" w:hAnsi="Times New Roman" w:cs="Times New Roman"/>
          <w:sz w:val="24"/>
          <w:szCs w:val="24"/>
        </w:rPr>
        <w:t xml:space="preserve"> A Felek rögzítik, hogy a Szállító által vállalt garancia, a nyertes pályázat alapján az </w:t>
      </w:r>
      <w:r w:rsidR="006C02F4">
        <w:rPr>
          <w:rFonts w:ascii="Times New Roman" w:hAnsi="Times New Roman" w:cs="Times New Roman"/>
          <w:sz w:val="24"/>
          <w:szCs w:val="24"/>
        </w:rPr>
        <w:t>üzembe helyezéstől</w:t>
      </w:r>
      <w:r w:rsidR="00360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0E4">
        <w:rPr>
          <w:rFonts w:ascii="Times New Roman" w:hAnsi="Times New Roman" w:cs="Times New Roman"/>
          <w:sz w:val="24"/>
          <w:szCs w:val="24"/>
        </w:rPr>
        <w:t>számított …</w:t>
      </w:r>
      <w:proofErr w:type="gramEnd"/>
      <w:r w:rsidR="003600E4">
        <w:rPr>
          <w:rFonts w:ascii="Times New Roman" w:hAnsi="Times New Roman" w:cs="Times New Roman"/>
          <w:sz w:val="24"/>
          <w:szCs w:val="24"/>
        </w:rPr>
        <w:t>…..  nap.</w:t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4./</w:t>
      </w:r>
      <w:r w:rsidRPr="00862137">
        <w:rPr>
          <w:rFonts w:ascii="Times New Roman" w:hAnsi="Times New Roman" w:cs="Times New Roman"/>
          <w:sz w:val="24"/>
          <w:szCs w:val="24"/>
        </w:rPr>
        <w:tab/>
        <w:t>Szállító biztosítja Megrendelő számára megrendelés módosítását, a megrendelés teljesítését megelőző munkanapon 10 óráig. Amennyiben Megrendelő rendelését a Szállítást megelőző napon adja le és ebből kifolyólag a Szállító nem, vagy nem a szerződés szerinti feltételek alapján teljesít, ebből kifolyólag Megrendelő nem jogosult hibás teljesítés miatt igényt érvényesíteni, illetve a szerződést szerződésszegésre való hivatkozással felmondani.</w:t>
      </w:r>
    </w:p>
    <w:p w:rsidR="007360E1" w:rsidRPr="007360E1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5./</w:t>
      </w:r>
      <w:r w:rsidRPr="00862137">
        <w:rPr>
          <w:rFonts w:ascii="Times New Roman" w:hAnsi="Times New Roman" w:cs="Times New Roman"/>
          <w:sz w:val="24"/>
          <w:szCs w:val="24"/>
        </w:rPr>
        <w:tab/>
        <w:t>Felek rögzítik, hogy a termék át</w:t>
      </w:r>
      <w:r w:rsidR="007360E1">
        <w:rPr>
          <w:rFonts w:ascii="Times New Roman" w:hAnsi="Times New Roman" w:cs="Times New Roman"/>
          <w:sz w:val="24"/>
          <w:szCs w:val="24"/>
        </w:rPr>
        <w:t xml:space="preserve">adás a </w:t>
      </w:r>
      <w:r w:rsidRPr="00862137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7360E1">
        <w:rPr>
          <w:rFonts w:ascii="Times New Roman" w:hAnsi="Times New Roman" w:cs="Times New Roman"/>
          <w:sz w:val="24"/>
          <w:szCs w:val="24"/>
        </w:rPr>
        <w:t>székhelyén/</w:t>
      </w:r>
      <w:r w:rsidRPr="00862137">
        <w:rPr>
          <w:rFonts w:ascii="Times New Roman" w:hAnsi="Times New Roman" w:cs="Times New Roman"/>
          <w:sz w:val="24"/>
          <w:szCs w:val="24"/>
        </w:rPr>
        <w:t xml:space="preserve">telephelyén </w:t>
      </w:r>
      <w:r w:rsidR="007360E1" w:rsidRPr="007360E1">
        <w:rPr>
          <w:rFonts w:ascii="Times New Roman" w:hAnsi="Times New Roman" w:cs="Times New Roman"/>
          <w:sz w:val="24"/>
          <w:szCs w:val="24"/>
        </w:rPr>
        <w:t>történik:</w:t>
      </w:r>
    </w:p>
    <w:p w:rsidR="007360E1" w:rsidRDefault="007360E1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E1" w:rsidRDefault="006C02F4" w:rsidP="007360E1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Tatabán</w:t>
      </w:r>
      <w:r w:rsidR="00AD003D">
        <w:rPr>
          <w:rFonts w:ascii="Times New Roman" w:hAnsi="Times New Roman" w:cs="Times New Roman"/>
          <w:b/>
          <w:sz w:val="24"/>
          <w:szCs w:val="24"/>
        </w:rPr>
        <w:t>ya Szakképzési Centrum Eötvös Loránd Szakgimnáziuma és Szakközépiskolája</w:t>
      </w:r>
    </w:p>
    <w:p w:rsidR="007360E1" w:rsidRDefault="00AD003D" w:rsidP="007360E1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2840 Oroszlány, Asztalos u. 2.</w:t>
      </w:r>
    </w:p>
    <w:p w:rsidR="00862137" w:rsidRPr="00862137" w:rsidRDefault="007360E1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137" w:rsidRPr="00862137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 megbízottja a Szállító által kibocsájtott számla aláírásával igazol. Amennyiben a Megrendelő a megrendelés szerint leszállított terméket nem veszi át, a Szállító a Megrendelő kockázatára és költségére gondoskodik annak visszaszállításáról és tárolásáról, mely során keletkezett díj külön felszámításra kerül. A Megrendelő felelős a telephelyen való kirakodásért, a kirakodáshoz szükséges megfelelő körülmények biztosításáért, valamint a Szállítónak kell biztosítani a megfelelő szállítási eszközt olyan </w:t>
      </w:r>
      <w:r w:rsidR="00862137" w:rsidRPr="00862137">
        <w:rPr>
          <w:rFonts w:ascii="Times New Roman" w:hAnsi="Times New Roman" w:cs="Times New Roman"/>
          <w:sz w:val="24"/>
          <w:szCs w:val="24"/>
        </w:rPr>
        <w:lastRenderedPageBreak/>
        <w:t>állapotban, hogy lehetővé tegye a Megrendelő kirakodási kötelezettségeinek teljesítését.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6./</w:t>
      </w:r>
      <w:r w:rsidRPr="00862137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862137" w:rsidRPr="00862137" w:rsidRDefault="00862137" w:rsidP="007E6858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7./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A Felek rögzítik, hogy Szállító a megrendelt termékek maradéktalan és határidőben való teljesítésének </w:t>
      </w:r>
      <w:proofErr w:type="gramStart"/>
      <w:r w:rsidRPr="00862137">
        <w:rPr>
          <w:rFonts w:ascii="Times New Roman" w:hAnsi="Times New Roman" w:cs="Times New Roman"/>
          <w:sz w:val="24"/>
          <w:szCs w:val="24"/>
        </w:rPr>
        <w:t>esetére …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>……………….… ,- Ft + ÁFA összegű  díjra jogosult.</w:t>
      </w:r>
      <w:r w:rsidR="007E6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858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8./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Szállító a szállításról/teljesítésről számlát állít ki, melyet Megrendelő a kiállítástól számított harminc napon belül köteles teljesíteni átutalás útján </w:t>
      </w:r>
      <w:proofErr w:type="gramStart"/>
      <w:r w:rsidRPr="00862137">
        <w:rPr>
          <w:rFonts w:ascii="Times New Roman" w:hAnsi="Times New Roman" w:cs="Times New Roman"/>
          <w:sz w:val="24"/>
          <w:szCs w:val="24"/>
        </w:rPr>
        <w:t>Szállító …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>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862137" w:rsidRPr="00862137" w:rsidRDefault="007E6858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2137" w:rsidRPr="00862137">
        <w:rPr>
          <w:rFonts w:ascii="Times New Roman" w:hAnsi="Times New Roman" w:cs="Times New Roman"/>
          <w:sz w:val="24"/>
          <w:szCs w:val="24"/>
        </w:rPr>
        <w:t>./</w:t>
      </w:r>
      <w:r w:rsidR="00862137" w:rsidRPr="00862137">
        <w:rPr>
          <w:rFonts w:ascii="Times New Roman" w:hAnsi="Times New Roman" w:cs="Times New Roman"/>
          <w:sz w:val="24"/>
          <w:szCs w:val="24"/>
        </w:rPr>
        <w:tab/>
        <w:t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Az átvett termék vonatkozásában a Megrendelőnek az átvételtől számított 48 órán belül van joga írásban érvényesíteni kifogásait a termék szavatosságával kapcsolatban. Az átvételkor fel nem ismerhető mennyiségi és minőségi hibákat Megrendelő a tényeket bizonyító okmányokkal együtt a hiba felfedezésekor azonnal a szállítónál írásban köteles bejelenteni.</w:t>
      </w:r>
    </w:p>
    <w:p w:rsidR="007E6858" w:rsidRDefault="007E6858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137" w:rsidRPr="00862137">
        <w:rPr>
          <w:rFonts w:ascii="Times New Roman" w:hAnsi="Times New Roman" w:cs="Times New Roman"/>
          <w:sz w:val="24"/>
          <w:szCs w:val="24"/>
        </w:rPr>
        <w:t>./</w:t>
      </w:r>
      <w:r w:rsidR="00862137" w:rsidRPr="00862137">
        <w:rPr>
          <w:rFonts w:ascii="Times New Roman" w:hAnsi="Times New Roman" w:cs="Times New Roman"/>
          <w:sz w:val="24"/>
          <w:szCs w:val="24"/>
        </w:rPr>
        <w:tab/>
        <w:t>A felek bármelyike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862137" w:rsidRPr="00862137" w:rsidRDefault="007E6858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62137" w:rsidRPr="00862137">
        <w:rPr>
          <w:rFonts w:ascii="Times New Roman" w:hAnsi="Times New Roman" w:cs="Times New Roman"/>
          <w:sz w:val="24"/>
          <w:szCs w:val="24"/>
        </w:rPr>
        <w:t>A felek bármelyike jogosult a jelen szerződést azonnali hatállyal felmondani a másik fél súlyosan szerződésszegő magatartása esetén, így különösen: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ab/>
        <w:t>-</w:t>
      </w:r>
      <w:r w:rsidRPr="00862137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ab/>
        <w:t>-</w:t>
      </w:r>
      <w:r w:rsidRPr="00862137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ab/>
        <w:t>-</w:t>
      </w:r>
      <w:r w:rsidRPr="00862137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ab/>
        <w:t>-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ha a Szállító a szállítással késedelembe esik és a Megrendelő faxon vagy e-mailben </w:t>
      </w:r>
      <w:r w:rsidRPr="00862137">
        <w:rPr>
          <w:rFonts w:ascii="Times New Roman" w:hAnsi="Times New Roman" w:cs="Times New Roman"/>
          <w:sz w:val="24"/>
          <w:szCs w:val="24"/>
        </w:rPr>
        <w:lastRenderedPageBreak/>
        <w:t>közölt írásbeli felszólítása ellenére szállítási kötelezettségének azonnal nem tesz eleget.</w:t>
      </w:r>
    </w:p>
    <w:p w:rsidR="00862137" w:rsidRPr="00862137" w:rsidRDefault="00862137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ab/>
        <w:t>Felek rögzítik, hogy vis major esetén egyik fél sem vonható felelősségre, így a felek ilyen esetben eltekintenek az egymással szembeni kárigénytől.</w:t>
      </w:r>
    </w:p>
    <w:p w:rsidR="00862137" w:rsidRPr="00862137" w:rsidRDefault="007E6858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137" w:rsidRPr="00862137">
        <w:rPr>
          <w:rFonts w:ascii="Times New Roman" w:hAnsi="Times New Roman" w:cs="Times New Roman"/>
          <w:sz w:val="24"/>
          <w:szCs w:val="24"/>
        </w:rPr>
        <w:t>./</w:t>
      </w:r>
      <w:r w:rsidR="00862137" w:rsidRPr="00862137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862137" w:rsidRPr="00862137" w:rsidRDefault="007E6858" w:rsidP="007E685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2137" w:rsidRPr="00862137">
        <w:rPr>
          <w:rFonts w:ascii="Times New Roman" w:hAnsi="Times New Roman" w:cs="Times New Roman"/>
          <w:sz w:val="24"/>
          <w:szCs w:val="24"/>
        </w:rPr>
        <w:t>./</w:t>
      </w:r>
      <w:r w:rsidR="00862137" w:rsidRPr="00862137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862137" w:rsidRPr="00862137" w:rsidRDefault="00862137" w:rsidP="00862137">
      <w:pPr>
        <w:tabs>
          <w:tab w:val="left" w:pos="567"/>
        </w:tabs>
        <w:ind w:left="567" w:hanging="501"/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7E6858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Tatabánya, </w:t>
      </w:r>
      <w:proofErr w:type="gramStart"/>
      <w:r w:rsidRPr="00862137">
        <w:rPr>
          <w:rFonts w:ascii="Times New Roman" w:hAnsi="Times New Roman" w:cs="Times New Roman"/>
          <w:sz w:val="24"/>
          <w:szCs w:val="24"/>
        </w:rPr>
        <w:t>2017.               hó</w:t>
      </w:r>
      <w:proofErr w:type="gramEnd"/>
      <w:r w:rsidRPr="00862137">
        <w:rPr>
          <w:rFonts w:ascii="Times New Roman" w:hAnsi="Times New Roman" w:cs="Times New Roman"/>
          <w:sz w:val="24"/>
          <w:szCs w:val="24"/>
        </w:rPr>
        <w:t xml:space="preserve">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2017.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273160">
        <w:tc>
          <w:tcPr>
            <w:tcW w:w="4606" w:type="dxa"/>
            <w:shd w:val="clear" w:color="auto" w:fill="auto"/>
          </w:tcPr>
          <w:p w:rsidR="004407B7" w:rsidRDefault="004407B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</w:tbl>
    <w:p w:rsidR="00862137" w:rsidRPr="00862137" w:rsidRDefault="00862137" w:rsidP="00862137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E6858" w:rsidRPr="00862137" w:rsidTr="00273160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13" w:rsidRDefault="00C31013">
      <w:pPr>
        <w:spacing w:after="0" w:line="240" w:lineRule="auto"/>
      </w:pPr>
      <w:r>
        <w:separator/>
      </w:r>
    </w:p>
  </w:endnote>
  <w:endnote w:type="continuationSeparator" w:id="0">
    <w:p w:rsidR="00C31013" w:rsidRDefault="00C3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13" w:rsidRDefault="00C31013">
    <w:pPr>
      <w:tabs>
        <w:tab w:val="center" w:pos="4536"/>
        <w:tab w:val="right" w:pos="9072"/>
      </w:tabs>
      <w:spacing w:after="0" w:line="240" w:lineRule="auto"/>
      <w:jc w:val="right"/>
    </w:pPr>
  </w:p>
  <w:p w:rsidR="00C31013" w:rsidRDefault="00C31013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07DBD">
      <w:rPr>
        <w:noProof/>
      </w:rPr>
      <w:t>39</w:t>
    </w:r>
    <w:r>
      <w:fldChar w:fldCharType="end"/>
    </w:r>
  </w:p>
  <w:p w:rsidR="00C31013" w:rsidRDefault="00C3101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13" w:rsidRDefault="00C31013">
      <w:pPr>
        <w:spacing w:after="0" w:line="240" w:lineRule="auto"/>
      </w:pPr>
      <w:r>
        <w:separator/>
      </w:r>
    </w:p>
  </w:footnote>
  <w:footnote w:type="continuationSeparator" w:id="0">
    <w:p w:rsidR="00C31013" w:rsidRDefault="00C3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13" w:rsidRDefault="00C31013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5"/>
    <w:rsid w:val="00007AC5"/>
    <w:rsid w:val="00007DBD"/>
    <w:rsid w:val="00051597"/>
    <w:rsid w:val="00053A95"/>
    <w:rsid w:val="00057686"/>
    <w:rsid w:val="00060B05"/>
    <w:rsid w:val="00075CBB"/>
    <w:rsid w:val="00083520"/>
    <w:rsid w:val="00084C8E"/>
    <w:rsid w:val="000A5175"/>
    <w:rsid w:val="000A7F4E"/>
    <w:rsid w:val="000B0F84"/>
    <w:rsid w:val="000B5FF0"/>
    <w:rsid w:val="000C01ED"/>
    <w:rsid w:val="000C48BA"/>
    <w:rsid w:val="000D0938"/>
    <w:rsid w:val="000F0BEA"/>
    <w:rsid w:val="000F5B98"/>
    <w:rsid w:val="000F5FC2"/>
    <w:rsid w:val="0010042E"/>
    <w:rsid w:val="001234DC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45E5F"/>
    <w:rsid w:val="002526FC"/>
    <w:rsid w:val="00271A7A"/>
    <w:rsid w:val="00273160"/>
    <w:rsid w:val="002778F8"/>
    <w:rsid w:val="002863BE"/>
    <w:rsid w:val="00287DDE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32C2"/>
    <w:rsid w:val="0035688E"/>
    <w:rsid w:val="00357A2E"/>
    <w:rsid w:val="003600E4"/>
    <w:rsid w:val="00374DFE"/>
    <w:rsid w:val="00396614"/>
    <w:rsid w:val="003B2CAF"/>
    <w:rsid w:val="003C7E09"/>
    <w:rsid w:val="003D2047"/>
    <w:rsid w:val="003D5C4A"/>
    <w:rsid w:val="003F1BD4"/>
    <w:rsid w:val="00401574"/>
    <w:rsid w:val="004020C5"/>
    <w:rsid w:val="00405EB5"/>
    <w:rsid w:val="004105E1"/>
    <w:rsid w:val="00412C35"/>
    <w:rsid w:val="00431225"/>
    <w:rsid w:val="0043599B"/>
    <w:rsid w:val="004407B7"/>
    <w:rsid w:val="00446715"/>
    <w:rsid w:val="00447A79"/>
    <w:rsid w:val="00450EE6"/>
    <w:rsid w:val="004526F2"/>
    <w:rsid w:val="00465930"/>
    <w:rsid w:val="004911F0"/>
    <w:rsid w:val="004944F3"/>
    <w:rsid w:val="004B453B"/>
    <w:rsid w:val="004B53C2"/>
    <w:rsid w:val="004C7755"/>
    <w:rsid w:val="004D10AC"/>
    <w:rsid w:val="004D7CB3"/>
    <w:rsid w:val="004F1705"/>
    <w:rsid w:val="0050386B"/>
    <w:rsid w:val="00511D1D"/>
    <w:rsid w:val="005425E8"/>
    <w:rsid w:val="005713DC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527"/>
    <w:rsid w:val="00605ED0"/>
    <w:rsid w:val="00617AF2"/>
    <w:rsid w:val="00635F81"/>
    <w:rsid w:val="00661E4A"/>
    <w:rsid w:val="006704E2"/>
    <w:rsid w:val="006723E5"/>
    <w:rsid w:val="006859F4"/>
    <w:rsid w:val="00686BD8"/>
    <w:rsid w:val="006A004B"/>
    <w:rsid w:val="006C02F4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739E"/>
    <w:rsid w:val="007B5166"/>
    <w:rsid w:val="007B64FF"/>
    <w:rsid w:val="007C22EF"/>
    <w:rsid w:val="007E6858"/>
    <w:rsid w:val="007F37D3"/>
    <w:rsid w:val="007F5C1E"/>
    <w:rsid w:val="00820439"/>
    <w:rsid w:val="008342DA"/>
    <w:rsid w:val="0084237A"/>
    <w:rsid w:val="0085045C"/>
    <w:rsid w:val="008506D8"/>
    <w:rsid w:val="00862137"/>
    <w:rsid w:val="00872AA7"/>
    <w:rsid w:val="00872FC8"/>
    <w:rsid w:val="00874984"/>
    <w:rsid w:val="00891BDC"/>
    <w:rsid w:val="008C77BB"/>
    <w:rsid w:val="008D01C6"/>
    <w:rsid w:val="008D4372"/>
    <w:rsid w:val="008D5A98"/>
    <w:rsid w:val="008D7487"/>
    <w:rsid w:val="008E177B"/>
    <w:rsid w:val="008F4145"/>
    <w:rsid w:val="00903888"/>
    <w:rsid w:val="00917E13"/>
    <w:rsid w:val="00925FF4"/>
    <w:rsid w:val="009277C7"/>
    <w:rsid w:val="0093549A"/>
    <w:rsid w:val="0096607E"/>
    <w:rsid w:val="00981659"/>
    <w:rsid w:val="0099771B"/>
    <w:rsid w:val="009C09EA"/>
    <w:rsid w:val="009C2877"/>
    <w:rsid w:val="009C4020"/>
    <w:rsid w:val="009D070F"/>
    <w:rsid w:val="009F2EA6"/>
    <w:rsid w:val="00A053AA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A0CE2"/>
    <w:rsid w:val="00AA781A"/>
    <w:rsid w:val="00AC1A0E"/>
    <w:rsid w:val="00AC390C"/>
    <w:rsid w:val="00AD003D"/>
    <w:rsid w:val="00B015CF"/>
    <w:rsid w:val="00B0562E"/>
    <w:rsid w:val="00B1174B"/>
    <w:rsid w:val="00B276DD"/>
    <w:rsid w:val="00B361C9"/>
    <w:rsid w:val="00B53430"/>
    <w:rsid w:val="00B6089B"/>
    <w:rsid w:val="00B6551D"/>
    <w:rsid w:val="00B72116"/>
    <w:rsid w:val="00B820D6"/>
    <w:rsid w:val="00B82EFD"/>
    <w:rsid w:val="00B86FA3"/>
    <w:rsid w:val="00B875F8"/>
    <w:rsid w:val="00B9660D"/>
    <w:rsid w:val="00B97614"/>
    <w:rsid w:val="00BB6292"/>
    <w:rsid w:val="00BF4D22"/>
    <w:rsid w:val="00BF7A64"/>
    <w:rsid w:val="00C24168"/>
    <w:rsid w:val="00C2741E"/>
    <w:rsid w:val="00C31013"/>
    <w:rsid w:val="00C36B5B"/>
    <w:rsid w:val="00C401BF"/>
    <w:rsid w:val="00C43A99"/>
    <w:rsid w:val="00C4741F"/>
    <w:rsid w:val="00C52C64"/>
    <w:rsid w:val="00C55B20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120E0"/>
    <w:rsid w:val="00D6565D"/>
    <w:rsid w:val="00D66AAC"/>
    <w:rsid w:val="00D7432D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10FC4"/>
    <w:rsid w:val="00E230CF"/>
    <w:rsid w:val="00E271F1"/>
    <w:rsid w:val="00E41699"/>
    <w:rsid w:val="00E51F70"/>
    <w:rsid w:val="00E53F8E"/>
    <w:rsid w:val="00E627C4"/>
    <w:rsid w:val="00E708C9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D19B4"/>
    <w:rsid w:val="00EE7271"/>
    <w:rsid w:val="00F01ED4"/>
    <w:rsid w:val="00F15A90"/>
    <w:rsid w:val="00F26BAE"/>
    <w:rsid w:val="00F36394"/>
    <w:rsid w:val="00F434BE"/>
    <w:rsid w:val="00F454E0"/>
    <w:rsid w:val="00F54C78"/>
    <w:rsid w:val="00F577FC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orgina.sipos-goor@tsz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F1C5-4FF5-406E-8FF5-6EB47A1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39</Pages>
  <Words>6191</Words>
  <Characters>42724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Molnár István</cp:lastModifiedBy>
  <cp:revision>40</cp:revision>
  <cp:lastPrinted>2017-09-20T12:16:00Z</cp:lastPrinted>
  <dcterms:created xsi:type="dcterms:W3CDTF">2017-09-08T07:16:00Z</dcterms:created>
  <dcterms:modified xsi:type="dcterms:W3CDTF">2017-12-05T21:04:00Z</dcterms:modified>
</cp:coreProperties>
</file>