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P Á L Y Á Z A T</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A</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 xml:space="preserve">Tatabányai Szakképzési Centrum </w:t>
      </w:r>
    </w:p>
    <w:p>
      <w:pPr>
        <w:pStyle w:val="Normal"/>
        <w:jc w:val="center"/>
        <w:rPr/>
      </w:pPr>
      <w:r>
        <w:rPr>
          <w:rFonts w:eastAsia="Times New Roman" w:cs="Times New Roman" w:ascii="Times New Roman" w:hAnsi="Times New Roman"/>
          <w:sz w:val="48"/>
          <w:szCs w:val="48"/>
        </w:rPr>
        <w:t>Eötvös Loránd Szakgimnáziuma és Szakközépiskolája</w:t>
      </w:r>
    </w:p>
    <w:p>
      <w:pPr>
        <w:pStyle w:val="Normal"/>
        <w:jc w:val="center"/>
        <w:rPr/>
      </w:pPr>
      <w:r>
        <w:rPr>
          <w:rFonts w:eastAsia="Times New Roman" w:cs="Times New Roman" w:ascii="Times New Roman" w:hAnsi="Times New Roman"/>
          <w:sz w:val="48"/>
          <w:szCs w:val="48"/>
        </w:rPr>
        <w:t xml:space="preserve">tagintézménye </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palástköszörű eszközbeszerzés</w:t>
      </w:r>
    </w:p>
    <w:p>
      <w:pPr>
        <w:pStyle w:val="Normal"/>
        <w:jc w:val="center"/>
        <w:rPr>
          <w:rFonts w:ascii="Times New Roman" w:hAnsi="Times New Roman" w:eastAsia="Times New Roman" w:cs="Times New Roman"/>
          <w:sz w:val="48"/>
          <w:szCs w:val="48"/>
        </w:rPr>
      </w:pPr>
      <w:r>
        <w:rPr>
          <w:rFonts w:eastAsia="Times New Roman" w:cs="Times New Roman" w:ascii="Times New Roman" w:hAnsi="Times New Roman"/>
          <w:sz w:val="48"/>
          <w:szCs w:val="48"/>
        </w:rPr>
        <w:t>tárgyban</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Tisztelt Pályázó!</w:t>
      </w:r>
    </w:p>
    <w:p>
      <w:pPr>
        <w:pStyle w:val="Normal"/>
        <w:jc w:val="both"/>
        <w:rPr/>
      </w:pPr>
      <w:r>
        <w:rPr>
          <w:rFonts w:eastAsia="Times New Roman" w:cs="Times New Roman" w:ascii="Times New Roman" w:hAnsi="Times New Roman"/>
          <w:sz w:val="24"/>
          <w:szCs w:val="24"/>
        </w:rPr>
        <w:t>A Tatabányai Szakképzési Centrum 2017. évi költségvetése alapján és az ellátandó feladatok ismeretében - pályázati eljárást folytat le a „</w:t>
      </w:r>
      <w:r>
        <w:rPr>
          <w:rFonts w:eastAsia="Times New Roman" w:cs="Times New Roman" w:ascii="Times New Roman" w:hAnsi="Times New Roman"/>
          <w:color w:val="00000A"/>
          <w:sz w:val="24"/>
          <w:szCs w:val="24"/>
        </w:rPr>
        <w:t>Tatabányai Szakképzési Centrum Eötvös Loránd Szakgimnáziuma és Szakközépiskolája tagintézménye palástköszörű eszközbeszerzés”</w:t>
      </w:r>
      <w:r>
        <w:rPr>
          <w:rFonts w:eastAsia="Times New Roman" w:cs="Times New Roman" w:ascii="Times New Roman" w:hAnsi="Times New Roman"/>
          <w:sz w:val="24"/>
          <w:szCs w:val="24"/>
        </w:rPr>
        <w:t xml:space="preserve"> tárgyban. </w:t>
      </w:r>
    </w:p>
    <w:p>
      <w:pPr>
        <w:pStyle w:val="Normal"/>
        <w:jc w:val="both"/>
        <w:rPr/>
      </w:pPr>
      <w:r>
        <w:rPr>
          <w:rFonts w:eastAsia="Times New Roman" w:cs="Times New Roman" w:ascii="Times New Roman" w:hAnsi="Times New Roman"/>
          <w:sz w:val="24"/>
          <w:szCs w:val="24"/>
        </w:rPr>
        <w:t xml:space="preserve">A beszerzés célja a 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tagintézményének szakképzési profilja, illetve szakmaszerkezeti ismerete alapján olyan palástköszörű gép beszerzése, amely a Szakmai és Vizsgakövetelményekben lefektetett követelmények alapján alkalmas gépi forgácsoló és gépgyártás technológiai technikus szakokon a palástköszörülés témakör oktatására.</w:t>
      </w:r>
    </w:p>
    <w:p>
      <w:pPr>
        <w:pStyle w:val="Normal"/>
        <w:jc w:val="both"/>
        <w:rPr/>
      </w:pPr>
      <w:r>
        <w:rPr>
          <w:rFonts w:eastAsia="Times New Roman" w:cs="Times New Roman" w:ascii="Times New Roman" w:hAnsi="Times New Roman"/>
          <w:sz w:val="24"/>
          <w:szCs w:val="24"/>
          <w:u w:val="single"/>
        </w:rPr>
        <w:t>A beszerezni kívánt eszköz:</w:t>
      </w:r>
      <w:r>
        <w:rPr>
          <w:rFonts w:eastAsia="Times New Roman" w:cs="Times New Roman" w:ascii="Times New Roman" w:hAnsi="Times New Roman"/>
          <w:sz w:val="24"/>
          <w:szCs w:val="24"/>
        </w:rPr>
        <w:t xml:space="preserve">  1 db palástköszörű</w:t>
      </w:r>
    </w:p>
    <w:p>
      <w:pPr>
        <w:pStyle w:val="Normal"/>
        <w:ind w:left="42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Jelen beszerzési eljárás - tekintettel annak beszerzési értékére - nem éri el a közbeszerzési értékhatárt, így nem tartozik a közbeszerzésekről szóló 2015. évi CXLIII. törvény hatálya alá, melyet  Ajánlatkérő önként sem kíván alkalmazni.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jelen Pályázati Dokumentáció elkészítésével, és a Pályázók részére rendelkezésre bocsátásával célunk az, hogy a lehető legrészletesebben meghatározzuk a beszerzésre kerülő eszközök körét, azok mennyiségét, valamint az alkalmazandó eljárásokat. A Pályázati Dokumentáció elegendő információt nyújt majd pályázataik megfelelő formában történő összeállításához, szakmai tartalmuk kialakításához, valamint segíti az Ajánlatkérő munkáját is, mivel az elkészített pályázatok értékelése egyszerűbben és gyorsabban történhet.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Pályázati Dokumentáció egyrészt részletezi a jelen pályázati eljárás során követendő szabályokat, másrészt meghatározott sorrendben tartalmazza a kötelezően kitöltendő, becsatolandó dokumentumokat (iratmintákat), harmadrészt minden információt megad a pályázat érdemi részének elkészítéséhez (műszaki leírások, mennyiségek, minőségi követelmények, betartandó előírások.)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Ajánlatkérő rögzíti, hogy a pályázati eljárás forrása a Tatabányai Szakképzési Centrum fenntartója a Nemzetgazdasági Minisztérium finanszírozása, melynek felhasználása kizárólag a fenti célra fordítható.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TARTALOMJEGYZÉK</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 Pályázati felhívás</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 Segédletek</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III. Műszaki dokumentáció</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Szerződés-tervezet</w:t>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I.</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PÁLYÁZATI FELHÍVÁS</w:t>
      </w:r>
    </w:p>
    <w:p>
      <w:pPr>
        <w:pStyle w:val="Normal"/>
        <w:jc w:val="both"/>
        <w:rPr/>
      </w:pPr>
      <w:r>
        <w:rPr>
          <w:rFonts w:eastAsia="Times New Roman" w:cs="Times New Roman" w:ascii="Times New Roman" w:hAnsi="Times New Roman"/>
          <w:sz w:val="24"/>
          <w:szCs w:val="24"/>
        </w:rPr>
        <w:t xml:space="preserve">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xml:space="preserve"> mint Ajánlatkérő (a továbbiakban: Ajánlatkérő) a pályázati dokumentáció bevezető részében rögzíti, hogy a jelen pályázat nem tartozik a hatályos Közbeszerzési Törvény hatálya alá, az egyes formai, tartalmi azonosságok kizárólag az esélyegyenlőség és versenysemlegesség elvének maradéktalan betartását kívánják szolgálni. </w:t>
      </w:r>
      <w:r>
        <w:rPr>
          <w:rFonts w:eastAsia="Times New Roman" w:cs="Times New Roman" w:ascii="Times New Roman" w:hAnsi="Times New Roman"/>
          <w:b/>
          <w:sz w:val="24"/>
          <w:szCs w:val="24"/>
        </w:rPr>
        <w:t xml:space="preserve">Ajánlatkérő meghívásos beszerzési eljárásban indítja meg jelen pályázati felhívást.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Az Ajánlatkérő neve, címe, telefon- és telefaxszáma, e-mail címe:  </w:t>
      </w:r>
    </w:p>
    <w:p>
      <w:pPr>
        <w:pStyle w:val="Normal"/>
        <w:jc w:val="both"/>
        <w:rPr/>
      </w:pPr>
      <w:r>
        <w:rPr>
          <w:rFonts w:eastAsia="Times New Roman" w:cs="Times New Roman" w:ascii="Times New Roman" w:hAnsi="Times New Roman"/>
          <w:sz w:val="24"/>
          <w:szCs w:val="24"/>
        </w:rPr>
        <w:t xml:space="preserve">Ajánlatkérő neve: Tatabányai Szakképzési Centrum </w:t>
      </w:r>
      <w:r>
        <w:rPr>
          <w:rFonts w:eastAsia="Times New Roman" w:cs="Times New Roman" w:ascii="Times New Roman" w:hAnsi="Times New Roman"/>
          <w:color w:val="00000A"/>
          <w:sz w:val="24"/>
          <w:szCs w:val="24"/>
        </w:rPr>
        <w:t>Eötvös Loránd Szakgimnáziuma és Szakközépiskolája</w:t>
      </w:r>
      <w:r>
        <w:rPr>
          <w:rFonts w:eastAsia="Times New Roman" w:cs="Times New Roman" w:ascii="Times New Roman" w:hAnsi="Times New Roman"/>
          <w:sz w:val="24"/>
          <w:szCs w:val="24"/>
        </w:rPr>
        <w:t xml:space="preserve"> tagintézménye</w:t>
      </w:r>
    </w:p>
    <w:p>
      <w:pPr>
        <w:pStyle w:val="Normal"/>
        <w:jc w:val="both"/>
        <w:rPr/>
      </w:pPr>
      <w:r>
        <w:rPr>
          <w:rFonts w:eastAsia="Times New Roman" w:cs="Times New Roman" w:ascii="Times New Roman" w:hAnsi="Times New Roman"/>
          <w:sz w:val="24"/>
          <w:szCs w:val="24"/>
        </w:rPr>
        <w:t>Ajánlatkérő címe: 2840 Oroszlány, Asztalos u. 2.</w:t>
      </w:r>
    </w:p>
    <w:p>
      <w:pPr>
        <w:pStyle w:val="Normal"/>
        <w:jc w:val="both"/>
        <w:rPr/>
      </w:pPr>
      <w:r>
        <w:rPr>
          <w:rFonts w:eastAsia="Times New Roman" w:cs="Times New Roman" w:ascii="Times New Roman" w:hAnsi="Times New Roman"/>
          <w:sz w:val="24"/>
          <w:szCs w:val="24"/>
        </w:rPr>
        <w:t>Ajánlatkérő képviselője: Grúber György – igazgató</w:t>
      </w:r>
    </w:p>
    <w:p>
      <w:pPr>
        <w:pStyle w:val="Normal"/>
        <w:jc w:val="both"/>
        <w:rPr/>
      </w:pPr>
      <w:r>
        <w:rPr>
          <w:rFonts w:eastAsia="Times New Roman" w:cs="Times New Roman" w:ascii="Times New Roman" w:hAnsi="Times New Roman"/>
          <w:sz w:val="24"/>
          <w:szCs w:val="24"/>
        </w:rPr>
        <w:t>Ajánlatkérő adószáma: 15832214-2-11</w:t>
      </w:r>
    </w:p>
    <w:p>
      <w:pPr>
        <w:pStyle w:val="Normal"/>
        <w:jc w:val="both"/>
        <w:rPr/>
      </w:pPr>
      <w:r>
        <w:rPr>
          <w:rFonts w:eastAsia="Times New Roman" w:cs="Times New Roman" w:ascii="Times New Roman" w:hAnsi="Times New Roman"/>
          <w:sz w:val="24"/>
          <w:szCs w:val="24"/>
        </w:rPr>
        <w:t>Ajánlatkérő OM azonosítója: 203064</w:t>
      </w:r>
    </w:p>
    <w:p>
      <w:pPr>
        <w:pStyle w:val="Normal"/>
        <w:jc w:val="both"/>
        <w:rPr/>
      </w:pPr>
      <w:r>
        <w:rPr>
          <w:rFonts w:eastAsia="Times New Roman" w:cs="Times New Roman" w:ascii="Times New Roman" w:hAnsi="Times New Roman"/>
          <w:sz w:val="24"/>
          <w:szCs w:val="24"/>
        </w:rPr>
        <w:t>Ajánlatkérő telefonszáma: +36 (34) 361-600</w:t>
      </w:r>
    </w:p>
    <w:p>
      <w:pPr>
        <w:pStyle w:val="Normal"/>
        <w:jc w:val="both"/>
        <w:rPr/>
      </w:pPr>
      <w:r>
        <w:rPr>
          <w:rFonts w:eastAsia="Times New Roman" w:cs="Times New Roman" w:ascii="Times New Roman" w:hAnsi="Times New Roman"/>
          <w:sz w:val="24"/>
          <w:szCs w:val="24"/>
        </w:rPr>
        <w:t>Ajánlatkérő e-mail címe: szakkepzes.oroszlany@gmail.com</w:t>
      </w:r>
    </w:p>
    <w:p>
      <w:pPr>
        <w:pStyle w:val="Normal"/>
        <w:jc w:val="both"/>
        <w:rPr/>
      </w:pPr>
      <w:r>
        <w:rPr>
          <w:rFonts w:eastAsia="Times New Roman" w:cs="Times New Roman" w:ascii="Times New Roman" w:hAnsi="Times New Roman"/>
          <w:sz w:val="24"/>
          <w:szCs w:val="24"/>
        </w:rPr>
        <w:t xml:space="preserve">Ajánlatkérő honlapja: </w:t>
      </w:r>
      <w:hyperlink r:id="rId2">
        <w:r>
          <w:rPr>
            <w:rStyle w:val="Internethivatkozs"/>
            <w:rFonts w:eastAsia="Times New Roman" w:cs="Times New Roman" w:ascii="Times New Roman" w:hAnsi="Times New Roman"/>
            <w:sz w:val="24"/>
            <w:szCs w:val="24"/>
          </w:rPr>
          <w:t>s</w:t>
        </w:r>
      </w:hyperlink>
      <w:r>
        <w:rPr>
          <w:rFonts w:eastAsia="Times New Roman" w:cs="Times New Roman" w:ascii="Times New Roman" w:hAnsi="Times New Roman"/>
          <w:sz w:val="24"/>
          <w:szCs w:val="24"/>
        </w:rPr>
        <w:t>zakkepzes.oroszlany.hu</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2./ A pályázat tárgya: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A pályázat tárgya: Tatabányai Szakképzési Centrum (székhely: 2800 Tatabánya, Fő tér 4.) mint önálló jogi személyiséggel rendelkező, önállóan működő és gazdálkodó központi költségvetési szerv fenntartásában álló tagintézményében megvalósuló alábbi beszerzés:</w:t>
      </w:r>
    </w:p>
    <w:p>
      <w:pPr>
        <w:pStyle w:val="Normal"/>
        <w:jc w:val="center"/>
        <w:rPr/>
      </w:pPr>
      <w:r>
        <w:rPr>
          <w:rFonts w:eastAsia="Times New Roman" w:cs="Times New Roman" w:ascii="Times New Roman" w:hAnsi="Times New Roman"/>
          <w:b/>
          <w:color w:val="00000A"/>
          <w:sz w:val="24"/>
          <w:szCs w:val="24"/>
        </w:rPr>
        <w:t>„</w:t>
      </w:r>
      <w:r>
        <w:rPr>
          <w:rFonts w:eastAsia="Times New Roman" w:cs="Times New Roman" w:ascii="Times New Roman" w:hAnsi="Times New Roman"/>
          <w:b/>
          <w:color w:val="00000A"/>
          <w:sz w:val="24"/>
          <w:szCs w:val="24"/>
        </w:rPr>
        <w:t>Tatabányai Szakképzési Centrum Eötvös Loránd Szakgimnáziuma és Szakközépiskolája tagintézménye palástköszörű eszközbeszerzés”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A pályázat mennyiségei: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3.1./ A pályázat mennyiségi adatait a jelen pályázati felhíváshoz kapcsolódó Műszaki Dokumentáció tartalmazza.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3.2./ A pályázat tárgyára részajánlat nem tehető. Az Ajánlattevő (pályázó) felelőssége, hogy a tárgybani feladat ellátására olyan, mindenre kiterjedő ajánlatot adjon, amely biztosítja a feladat (szolgáltatás) teljes körű, komplex elvégzését - az ajánlatában megadott ajánlati áron.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 Az Ajánlattevő (pályázó) kizárólagos felelőssége kiterjed: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3.3.1./ a Pályázati Felhívás és a Műszaki Dokumentáció teljes körűségének ellenőrzésére, 3.3.2./ az Ajánlatkérő tagintézményének helyszíni egyeztetésen, rendszer/hálózat felmérésen alapuló tapasztalatainak beépítésére az ajánlatba),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3.3.3/ a kérdésekre adott válaszok tartalmának teljeskörű beépítésére az ajánlatba,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3.3.4./ a Pályázati Felhívás és a Műszaki Dokumentáció valamennyi feltételének, utasításának, meghatározásának megismerésére és értelmezésére.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3.4./ Az Ajánlatkérő fenntartja magának a jogot a jelen pályázati eljárás visszavonására, valamint eredménytelenné nyilvánítására.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A pályázat műszaki leírása: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 műszaki leírását a jelen Pályázati Felhívás, illetve a Műszaki Dokumentáció részletesen rögzíti.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A pályázat minőségi követelményei: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 Az Ajánlattevőnek (nyertes Pályázónak) szavatolnia kell, hogy az általa szállított eszközök, illetve szolgáltatás I. osztályú minőségű, és megfelelő, segítségükkel a minőségi oktatás színvonala több évre biztonságosan fenntartható.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5.1.1./ Az Ajánlattevőnek (nyertes Pályázónak) szavatolnia kell, hogy az általa szállított eszközök, illetve szolgáltatás megfelel az irányadó hatályos (központi) jogszabályoknak, előírásoknak, az európai szabványokat közzétevő hatályos magyar szabványrendnek, ezek hiányában a nemzeti, nemzetközi szabványoknak,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5.1.2./ az Ajánlatkérő által meghatározott teljesítmény-, illetve funkcionális követelményeknek.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5.2./ Az Ajánlattevő által vállalandó részletes, szerződésben rögzített vállalásokat a szállítási szerződés-tervezete tartalmazza.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 A szerződési (al)típus meghatározása: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Szállítási szerződés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 A teljesítés (szerződés) tervezett határideje: </w:t>
      </w:r>
    </w:p>
    <w:p>
      <w:pPr>
        <w:pStyle w:val="Normal"/>
        <w:jc w:val="both"/>
        <w:rPr/>
      </w:pPr>
      <w:r>
        <w:rPr>
          <w:rFonts w:eastAsia="Times New Roman" w:cs="Times New Roman" w:ascii="Times New Roman" w:hAnsi="Times New Roman"/>
          <w:sz w:val="24"/>
          <w:szCs w:val="24"/>
        </w:rPr>
        <w:t xml:space="preserve">7.1./ A beszerzés tervezett időtartama: 2017. augusztus 31. - 2017. szeptember </w:t>
      </w:r>
      <w:r>
        <w:rPr>
          <w:rFonts w:eastAsia="Times New Roman" w:cs="Times New Roman" w:ascii="Times New Roman" w:hAnsi="Times New Roman"/>
          <w:sz w:val="24"/>
          <w:szCs w:val="24"/>
        </w:rPr>
        <w:t>30</w:t>
      </w:r>
      <w:r>
        <w:rPr>
          <w:rFonts w:eastAsia="Times New Roman" w:cs="Times New Roman" w:ascii="Times New Roman" w:hAnsi="Times New Roman"/>
          <w:sz w:val="24"/>
          <w:szCs w:val="24"/>
        </w:rPr>
        <w: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A teljesítés helye: </w:t>
      </w:r>
    </w:p>
    <w:p>
      <w:pPr>
        <w:pStyle w:val="Normal"/>
        <w:jc w:val="both"/>
        <w:rPr/>
      </w:pPr>
      <w:r>
        <w:rPr>
          <w:rFonts w:eastAsia="Times New Roman" w:cs="Times New Roman" w:ascii="Times New Roman" w:hAnsi="Times New Roman"/>
          <w:sz w:val="24"/>
          <w:szCs w:val="24"/>
        </w:rPr>
        <w:t>8.1./ Tatabányai Szakképzési Centrum Eötvös Loránd Szakgimnáziuma és Szakközépiskolája tagintézménye</w:t>
      </w:r>
    </w:p>
    <w:p>
      <w:pPr>
        <w:pStyle w:val="Normal"/>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Pontos cím/hrsz.: 2840 Oroszlány, Asztalos u. 2.</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Az ellenszolgáltatás teljesítésének feltételei: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9.1./ Az Ajánlatkérő számára – A Nemzetgazdasági Minisztérium által elfogadott és a Tatabányai Szakképzési Centrum által megalkotott 2017. évi költségvetésben - meghatározott keretösszeg áll rendelkezésre.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9.2./ Az ajánlati ár a pályázat tárgyáért (teljeskörű megvalósításáért) kért teljes ellenszolgáltatás összegét jelenti, amelynek magában kell foglalnia minden díjat, adót, illetéket, egyéb (igazgatási) költséget, - amelyet a Pályázó a jelen Pályázat tárgya ellátásával kapcsolatban felszámítani kíván. A Pályázati Adatlapon ezt az ajánlati árat kell feltüntetni bruttó összegben, feltüntetve a nettó összeget, az ÁFA mértékét és a bruttó ajánlati ár (vállalkozói díj) összegét is.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9.3./ A nyertes ajánlattevő (vállalkozó) részéről adott, nyertes ajánlati ár (díj) összege nem módosítható.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9.4./ Az ajánlati árat magyar forintban kell meghatározni.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9.5./ Az Ajánlatkérő a nyertes Ajánlattevő részére előleget nem fizet.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9.6./ A nyertes Ajánlattevő a beszerzést követően, a teljesítésigazolás birtokában állíthat ki az Ajánlatkérő részére számlát.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9.7./ A további fizetési szempontokat és feltételeket a Pályázati Dokumentáció részét képező szállítási szerződés-tervezete tartalmazza, rögzíti.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A pályázatok bírálati szempontja: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10.1./ Az Ajánlatkérő az e tárgyban benyújtott pályázatokat az összességében legelőnyösebb ajánlat bírálati elve alapján fogja értékelni.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 Az Ajánlatkérő az összességében legelőnyösebb ajánlat bírálati szempontjait, az alábbiak szerint határozza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Adható pontszámok: 1-100 között.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Bírálati szempontok:       </w:t>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10.2.1./ Nettó vállalkozói díj (Ft) - Pontszám: 70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10.2.2./ Garancia, jótállás (nap) - Pontszám: 30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Alkalmassági követelmények és az alkalmatlanság esetei: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11.1./ Műszaki, illetve szakmai alkalmasság - a megkövetelt igazolási mód: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pályázónak az alábbi dokumentumokat kell műszaki, illetve szakmai alkalmassága körében, annak igazolására becsatolni: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 a Pályázati Felhívás megfelelő iratmintájában megjelölt referencia lista kitöltését szükséges cégszerűen aláírva csatolni nyilatkozat formájában. A szerződés tárgya és ennek körében végzett tevékenységek felsorolása (Ellenszolgáltatás nettó összege, teljesítés ideje, teljesítés helye, a szerződést kötő másik fél és kapcsolattartójának megnevezése, címe, telefonszáma, ajánlattevő részvételi aránya és saját teljesítésének ellenértéke)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Alkalmatlan az ajánlattevő, ha nem rendelkezik az ajánlattételi felhívás megküldését megelőző 3 évben szerződésszerűen teljesített, legalább 2 db referenciával a pályázat tárgyában és a nettó vállalási ár nagyságrendjében.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fentiek igazolásához a Pályázati felhíváshoz csatolt referencia lista kitöltését kell csatolni cégszerűen aláírva nyilatkozat formájában.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11.2./ Pénzügyi alkalmasság: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pályázónak az alábbi dokumentumokat kell pénzügyi alkalmassága körében, annak igazolására becsatolni:  </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Pályázati Felhívás megfelelő iratmintájában megjelölt lista kitöltését szükséges cégszerűen aláírva csatolni nyilatkozat formájában. Nyilatkozni szükséges ajánlattevőnek az ajánlattételi határidőt megelőző 3 üzleti évben - általános forgalmi adó nélkül számított – teljes árbevételéről. Kérjük csatolni a továbbá a cég hatályos cégkivonatát, és az üzleti beszámolójának ide vonatkozó kivonatát.</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Alkalmatlan az ajánlattevő, ha nem rendelkezik az ajánlattételi határidőt megelőző 3 üzleti évben a nettó vállalási ár nagyságrendjét meg nem haladó - általános forgalmi adó nélkül számított – nettó árbevétellel. </w:t>
      </w:r>
    </w:p>
    <w:p>
      <w:pPr>
        <w:pStyle w:val="ListParagraph"/>
        <w:numPr>
          <w:ilvl w:val="0"/>
          <w:numId w:val="4"/>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Alkalmatlan az ajánlattevő, ha nem csatolja a cég hatályos cégkivonatát, és üzleti beszámolójának ide vonatkozó kivonatát.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 Ajánlati kötöttség: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11.3.1./ A pályázónak kötelezettséget kell vállalnia arra, hogy a pályázatában foglaltakat az ajánlat benyújtásától számított 60 napig változatlanul fenntartja, azaz ahhoz kötve van, vállalásait nem változtathatja meg, nem vonhatja vissza. Erről a pályázónak (60 napos ajánlati kötöttségvállalásáról) kifejezett, írásbeli nyilatkozatot kell tennie. Ennek elmulasztása a pályázat érvénytelenségét eredményezi.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11.3.2./ A Pályázónak a következő szerződéses mellékkötelezettséget kell vállalnia: Meghiúsulási kötbér fizetését az Ajánlatkérő részére, amennyiben a Pályázónak (nyertes Ajánlattevőnek) felróható okból, meghiúsul a beszerzés valamely, lényeges szerződéses kitételének teljes körű teljesítése. Mértéke: a teljes nettó ajánlati ár 20 %-a.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Késedelmi kötbér fizetését az Ajánlatkérő részére, amennyiben a Pályázónak (nyertes Ajánlattevőnek) felróható okból, meghiúsul a Pályázó (Ajánlattevő) által ajánlatában, valamint a felek által megkötött szerződésben meghatározott vállalási határidő betartására. A késedelmi kötbér mértéke: a teljes nettó ajánlati ár 1 %-a naponta.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Amennyiben a Pályázó nem vállalja a jelen pályázati felhívásban meghatározott mértékű meghiúsulási és késedelmi kötbért, vagyis erről írásban, kifejezetten nem nyilatkozik, - az Ajánlatkérő a Pályázó pályázatát érvénytelennek nyilvánítja.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 Hiánypótlás: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12.1./ A hiánypótlásra az Ajánlatkérő egy alkalommal teljes körűen biztosít lehetőséget, amelyről minden érintett Pályázót egy időben, legkorábban a bontási folyamat végén jegyzőkönyvbe foglaltan, vagy írásban (faxon) értesít.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12.2. Az Ajánlatkérő a hiánypótlási felhívásban pontosan megjelöli azokat a formai, illetve tartalmi hiányokat, amelyeket pótolni szükséges. Fentieken felül, megjelöli a hiánypótlás határidejét, valamint teljesítésének helyét, és módját.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12.3. A hiánypótlás során a Pályázó érdemben nem módosíthatja a már benyújtott pályázatát. (vállalási ár, garancia) Amennyiben a Pályázó a hiányokat nem pótolja, vagy újra hiányosan adja be a szükséges iratokat, esetleg módosítja pályázata bármely elemét, az Ajánlatkérő megállapítja a pályázat érvénytelenségét vagy a Pályázó alkalmatlanságát.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 A pályázat benyújtásának határideje:  </w:t>
      </w:r>
    </w:p>
    <w:p>
      <w:pPr>
        <w:pStyle w:val="Normal"/>
        <w:jc w:val="both"/>
        <w:rPr/>
      </w:pPr>
      <w:r>
        <w:rPr>
          <w:rFonts w:eastAsia="Times New Roman" w:cs="Times New Roman" w:ascii="Times New Roman" w:hAnsi="Times New Roman"/>
          <w:b/>
          <w:sz w:val="24"/>
          <w:szCs w:val="24"/>
        </w:rPr>
        <w:t xml:space="preserve">2017. augusztus </w:t>
      </w:r>
      <w:r>
        <w:rPr>
          <w:rFonts w:eastAsia="Times New Roman" w:cs="Times New Roman" w:ascii="Times New Roman" w:hAnsi="Times New Roman"/>
          <w:b/>
          <w:sz w:val="24"/>
          <w:szCs w:val="24"/>
        </w:rPr>
        <w:t>31</w:t>
      </w:r>
      <w:r>
        <w:rPr>
          <w:rFonts w:eastAsia="Times New Roman" w:cs="Times New Roman" w:ascii="Times New Roman" w:hAnsi="Times New Roman"/>
          <w:b/>
          <w:sz w:val="24"/>
          <w:szCs w:val="24"/>
        </w:rPr>
        <w:t xml:space="preserve">. 11:00 óra.  </w:t>
      </w:r>
    </w:p>
    <w:p>
      <w:pPr>
        <w:pStyle w:val="Normal"/>
        <w:jc w:val="both"/>
        <w:rPr/>
      </w:pPr>
      <w:r>
        <w:rPr>
          <w:rFonts w:eastAsia="Times New Roman" w:cs="Times New Roman" w:ascii="Times New Roman" w:hAnsi="Times New Roman"/>
          <w:sz w:val="24"/>
          <w:szCs w:val="24"/>
        </w:rPr>
        <w:t xml:space="preserve">Az Ajánlattevő a pályázatát olyképp nyújthatja be, hogy a pályázat a jelen Pályázati felhívásban megjelölt határideig a Tatabányai Szakképzési Centrum Eötvös Loránd Szakgimnáziuma és Szakközépiskolája tagintézménye részére benyújtásra kerüljön.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A pályázat benyújtásának címe:  </w:t>
      </w:r>
    </w:p>
    <w:p>
      <w:pPr>
        <w:pStyle w:val="Normal"/>
        <w:jc w:val="both"/>
        <w:rPr/>
      </w:pPr>
      <w:r>
        <w:rPr>
          <w:rFonts w:eastAsia="Times New Roman" w:cs="Times New Roman" w:ascii="Times New Roman" w:hAnsi="Times New Roman"/>
          <w:sz w:val="24"/>
          <w:szCs w:val="24"/>
        </w:rPr>
        <w:t xml:space="preserve">Tatabányai Szakképzési Centrum Eötvös Loránd Szakgimnáziuma és Szakközépiskolája tagintézménye </w:t>
      </w:r>
    </w:p>
    <w:p>
      <w:pPr>
        <w:pStyle w:val="Normal"/>
        <w:jc w:val="both"/>
        <w:rPr/>
      </w:pPr>
      <w:r>
        <w:rPr>
          <w:rFonts w:eastAsia="Times New Roman" w:cs="Times New Roman" w:ascii="Times New Roman" w:hAnsi="Times New Roman"/>
          <w:sz w:val="24"/>
          <w:szCs w:val="24"/>
        </w:rPr>
        <w:t>Pontos cím: 2840 Oroszlány, Asztalos 2.</w:t>
      </w:r>
    </w:p>
    <w:p>
      <w:pPr>
        <w:pStyle w:val="Normal"/>
        <w:jc w:val="both"/>
        <w:rPr/>
      </w:pPr>
      <w:r>
        <w:rPr>
          <w:rFonts w:eastAsia="Times New Roman" w:cs="Times New Roman" w:ascii="Times New Roman" w:hAnsi="Times New Roman"/>
          <w:sz w:val="24"/>
          <w:szCs w:val="24"/>
        </w:rPr>
        <w:t xml:space="preserve">A pályázatok leadásának időtartama, személyesen: hétfői nap 9-12 óráig, keddtől-csütörtökig 8-12 óráig, valamint pénteken 9-12 óráig, illetve postai úton.  </w:t>
      </w:r>
    </w:p>
    <w:p>
      <w:pPr>
        <w:pStyle w:val="Normal"/>
        <w:jc w:val="both"/>
        <w:rPr/>
      </w:pPr>
      <w:r>
        <w:rPr>
          <w:rFonts w:eastAsia="Times New Roman" w:cs="Times New Roman" w:ascii="Times New Roman" w:hAnsi="Times New Roman"/>
          <w:sz w:val="24"/>
          <w:szCs w:val="24"/>
        </w:rPr>
        <w:t>15./ Az ajánlattétel nyelve:</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pályázatot magyar nyelven kell megtenni.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 A pályázatok benyújtásának, felbontásának szabályai, ideje, helye:  </w:t>
      </w:r>
    </w:p>
    <w:p>
      <w:pPr>
        <w:pStyle w:val="Normal"/>
        <w:jc w:val="both"/>
        <w:rPr/>
      </w:pPr>
      <w:r>
        <w:rPr>
          <w:rFonts w:eastAsia="Times New Roman" w:cs="Times New Roman" w:ascii="Times New Roman" w:hAnsi="Times New Roman"/>
          <w:sz w:val="24"/>
          <w:szCs w:val="24"/>
        </w:rPr>
        <w:t>16.1./ A pályázatot cégszerűen aláírva, 2 példányban (egy eredeti és egy, az eredetivel mindenben azonos tartalmú másolati példányban) roncsolás mentesen, nem bontható kötésben, folyamatos oldalszámozással és tartalomjegyzékkel ellátva, zárt csomagolásban, a „</w:t>
      </w:r>
      <w:r>
        <w:rPr>
          <w:rFonts w:eastAsia="Times New Roman" w:cs="Times New Roman" w:ascii="Times New Roman" w:hAnsi="Times New Roman"/>
          <w:color w:val="00000A"/>
          <w:sz w:val="24"/>
          <w:szCs w:val="24"/>
        </w:rPr>
        <w:t>Tatabányai Szakképzési Centrum Eötvös Loránd Szakgimnáziuma és Szakközépiskolája tagintézménye palástköszörű eszközbeszerzés”</w:t>
      </w:r>
      <w:r>
        <w:rPr>
          <w:rFonts w:eastAsia="Times New Roman" w:cs="Times New Roman" w:ascii="Times New Roman" w:hAnsi="Times New Roman"/>
          <w:sz w:val="24"/>
          <w:szCs w:val="24"/>
        </w:rPr>
        <w:t xml:space="preserve"> és a „Határidő előtt nem bontható fel!” felirat csomagoláson való feltüntetésével kell benyújtani.  </w:t>
      </w:r>
    </w:p>
    <w:p>
      <w:pPr>
        <w:pStyle w:val="Normal"/>
        <w:jc w:val="both"/>
        <w:rPr/>
      </w:pPr>
      <w:r>
        <w:rPr>
          <w:rFonts w:eastAsia="Times New Roman" w:cs="Times New Roman" w:ascii="Times New Roman" w:hAnsi="Times New Roman"/>
          <w:sz w:val="24"/>
          <w:szCs w:val="24"/>
        </w:rPr>
        <w:t xml:space="preserve">Az ajánlatok felbontásának ideje: </w:t>
      </w:r>
      <w:r>
        <w:rPr>
          <w:rFonts w:eastAsia="Times New Roman" w:cs="Times New Roman" w:ascii="Times New Roman" w:hAnsi="Times New Roman"/>
          <w:b/>
          <w:sz w:val="24"/>
          <w:szCs w:val="24"/>
        </w:rPr>
        <w:t xml:space="preserve">2017. augusztus </w:t>
      </w:r>
      <w:r>
        <w:rPr>
          <w:rFonts w:eastAsia="Times New Roman" w:cs="Times New Roman" w:ascii="Times New Roman" w:hAnsi="Times New Roman"/>
          <w:b/>
          <w:sz w:val="24"/>
          <w:szCs w:val="24"/>
        </w:rPr>
        <w:t>31</w:t>
      </w:r>
      <w:r>
        <w:rPr>
          <w:rFonts w:eastAsia="Times New Roman" w:cs="Times New Roman" w:ascii="Times New Roman" w:hAnsi="Times New Roman"/>
          <w:b/>
          <w:sz w:val="24"/>
          <w:szCs w:val="24"/>
        </w:rPr>
        <w:t>. 11.00 óra.</w:t>
      </w:r>
      <w:r>
        <w:rPr>
          <w:rFonts w:eastAsia="Times New Roman" w:cs="Times New Roman" w:ascii="Times New Roman" w:hAnsi="Times New Roman"/>
          <w:sz w:val="24"/>
          <w:szCs w:val="24"/>
        </w:rPr>
        <w:t xml:space="preserve"> </w:t>
      </w:r>
    </w:p>
    <w:p>
      <w:pPr>
        <w:pStyle w:val="Normal"/>
        <w:jc w:val="both"/>
        <w:rPr/>
      </w:pPr>
      <w:r>
        <w:rPr>
          <w:rFonts w:eastAsia="Times New Roman" w:cs="Times New Roman" w:ascii="Times New Roman" w:hAnsi="Times New Roman"/>
          <w:sz w:val="24"/>
          <w:szCs w:val="24"/>
        </w:rPr>
        <w:t>Az ajánlatok felbontásának helye: Tatabányai Szakképzési Centrum Eötvös Loránd Szakgimnáziuma és Szakközépiskolája tagintézménye, igazgatói iroda helyiség.</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pályázat bontásakor minden pályázó jelen lehet, illetve meghatalmazottal képviseltetheti magát.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16.2./ A pályázat minden iratát a Pályázó képviselője lássa el cégszerű aláírásával. Az aláírás során kérjük, ne használjanak fekete színű tollat (tintát), mert a fekete színű tollal megtett aláírásokat nehéz megkülönböztetni a fénymásolt iratokon szereplő aláírásoktól.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16.3./ A pályázatok személyes átvételéről az Ajánlatkérő képviseletében eljáró személy átvételi elismervényt ad, amely tartalmazza a pályázat benyújtásának pontos időpontját, a benyújtó szervezet és személy nevét, a beadás helyszínét, a pályázat csomagolásának sértetlenségét, vagy esetleges sérüléseinek leírását, továbbá a beadó és az átvevő aláírását, az Ajánlatkérő bélyegzőlenyomatát.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16.4./ A pályázat felbontásakor valamennyi Pályázó esetében az írásbeli ajánlatában található Pályázati Adatlapon felsorolt adatok, valamint a pályázatok benyújtásakor és felbontásakor észlelt körülmények kerülnek ismertetésre, és rögzítésre. A benyújtott pályázat összes többi formai és tartalmi eleme, a bírálati időszakban kerül értékelésre.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16.5./ A pályázatok sértetlen benyújtását a Pályázónak kell biztosítani. Ugyanígy a pályázat határidőben történő beérkezését is a Pályázónak kell biztosítania, postai úton történő benyújtás esetén. A be nem érkező vagy határidőn túl, esetleg sérülten beérkező pályázatokért az Ajánlatkérő nem vállalja a felelősséget.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16.6./ A sérült, vagy a pályázati határidőn túl benyújtott pályázatokat az Ajánlatkérő - felbontás nélkül, - más által hozzáférhetetlen helyen megőrzi, azokat nem szolgáltatja vissza a Pályázónak. Az ilyen pályázatok, mint érvénytelenek, nem vesznek részt a bontási és bírálati eljárásban. A postai úton érkezett, sérült ajánlat tényéről az Ajánlatkérő képviselője haladéktalanul írásban (e-mail vagy fax) értesíti az adott Pályázót, aki a határidőn belül új, sérülésmentes Pályázatot nyújthat be. Az ismételt pályázat összeállításához a Pályázónak minden iratot újra kell elkészítenie és összeállítania.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16.7./ A határidőben, sértetlen csomagolásban benyújtott pályázatokat az Ajánlatkérő más által hozzáférhetetlen helyen őrzi, - a nyilvános bontás határnapjáig, időpontjáig.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16.8./ A pályázat benyújtása és felbontása határidejének (pályázati határidő) betartását az Ajánlatkérő saját, központi időmérőjével ellenőrzi és bizonyítja. Az adott, pályázati határidő elmúlását követően beérkező pályázatokat az Ajánlatkérő elkésettnek minősíti, és érvénytelennek nyilvánítja.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16.9./ A pályázatok felbontásán a Pályázók és az Ajánlatkérő képviselői lehetnek jelen. Az Ajánlatkérő a bontási eseményre külön meghívót a Pályázók részére nem küld.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16.10./ A bontási eljáráson a Pályázók jelenléte nem kötelező, a bontásról készült jegyzőkönyvet az Ajánlatkérő minden Pályázónak a bontást követő 5. munkanapon belül írásban küldi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17./ Annak meghatározása, hogy az eljárásban lehet-e tárgyalni: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Ajánlatkérő a benyújtott ajánlatot </w:t>
      </w:r>
      <w:r>
        <w:rPr>
          <w:rFonts w:eastAsia="Times New Roman" w:cs="Times New Roman" w:ascii="Times New Roman" w:hAnsi="Times New Roman"/>
          <w:b/>
          <w:sz w:val="24"/>
          <w:szCs w:val="24"/>
        </w:rPr>
        <w:t>tárgyalás nélkül</w:t>
      </w:r>
      <w:r>
        <w:rPr>
          <w:rFonts w:eastAsia="Times New Roman" w:cs="Times New Roman" w:ascii="Times New Roman" w:hAnsi="Times New Roman"/>
          <w:sz w:val="24"/>
          <w:szCs w:val="24"/>
        </w:rPr>
        <w:t xml:space="preserve"> bírálja el.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 Döntéshozatal szabályai: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18.1./ A benyújtott pályázatokat Ajánlatkérő a rá vonatkozó eljárásrend szabályai alapulvételével és keretei között - értékelik, és bírálják el.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18.2./ Az Ajánlatkérő - amennyiben a rendelkezésére álló pénzügyi keretösszeg mértéke szükségessé teszi - fenntartja magának a jogot a jelen pályázat eredménytelenné nyilvánítására.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19./ Az eredményhirdetés és a szerződéskötés tervezett időpontja:  </w:t>
      </w:r>
    </w:p>
    <w:p>
      <w:pPr>
        <w:pStyle w:val="Normal"/>
        <w:jc w:val="both"/>
        <w:rPr/>
      </w:pPr>
      <w:r>
        <w:rPr>
          <w:rFonts w:eastAsia="Times New Roman" w:cs="Times New Roman" w:ascii="Times New Roman" w:hAnsi="Times New Roman"/>
          <w:sz w:val="24"/>
          <w:szCs w:val="24"/>
        </w:rPr>
        <w:t xml:space="preserve">Az értékelés tervezett időpontja: 2017. </w:t>
      </w:r>
      <w:r>
        <w:rPr>
          <w:rFonts w:eastAsia="Times New Roman" w:cs="Times New Roman" w:ascii="Times New Roman" w:hAnsi="Times New Roman"/>
          <w:sz w:val="24"/>
          <w:szCs w:val="24"/>
        </w:rPr>
        <w:t>szeptember 1</w:t>
      </w:r>
    </w:p>
    <w:p>
      <w:pPr>
        <w:pStyle w:val="Normal"/>
        <w:jc w:val="both"/>
        <w:rPr/>
      </w:pPr>
      <w:r>
        <w:rPr>
          <w:rFonts w:eastAsia="Times New Roman" w:cs="Times New Roman" w:ascii="Times New Roman" w:hAnsi="Times New Roman"/>
          <w:sz w:val="24"/>
          <w:szCs w:val="24"/>
        </w:rPr>
        <w:t xml:space="preserve">A szerződéskötés tervezett időpontja: 2017. </w:t>
      </w:r>
      <w:r>
        <w:rPr>
          <w:rFonts w:eastAsia="Times New Roman" w:cs="Times New Roman" w:ascii="Times New Roman" w:hAnsi="Times New Roman"/>
          <w:sz w:val="24"/>
          <w:szCs w:val="24"/>
        </w:rPr>
        <w:t>szeptember 4</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Ajánlatkérő részéről, a tárgybani pályázaton benyújtott ajánlat(ok) elbírálás(ának) eredményéről, - minden pályázó írásban, írásbeli összegzés formájában értesítést kap.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 Egyéb információk: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 A Pályázati Felhívás és a Pályázati Dokumentáció tartalmazza, vagy meghivatkozza mindazon nyilatkozatokat, dokumentumokat, iratokat, melyeket kitöltve, illetve az Ajánlatkérő által megfogalmazva szükséges a pályázatokat összeállítani és benyújtani. Mindezeken kívül a Pályázó becsatolhat egyéb, általa szükségesnek ítélt iratokat is. Ezeket kérjük a pályázat végén elhelyezni. Mivel ezek is a pályázat részét képezik, a pályázat formai követelményeire vonatkozó előírások (pl. aláírás) ezekre is megfelelően vonatkoznak.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20.2./ A pályázat benyújtásához szükséges Pályázati Dokumentáció a jelen Pályázati Felhíváshoz csatolva, díjmentesen kerül átadásra (postai úton megküldésre, e-mail-en, elektronikus úton megküldésre) valamennyi Pályázó részére.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20.3./ A pályázatok összeállításával és benyújtásával kapcsolatban, felmerült és felmerülő összes költség az adott Pályázót terheli.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20.4./ A kapcsolattartás módja: A pályázati eljárás lezárásáig minden, az eljárással összefüggő kapcsolattartásra - a tárgyalás tartásának esetét kivéve - kizárólag írásban kerülhet sor. Az Ajánlatkérő visszautasít minden személyes vagy nem dokumentálható kapcsolattartási formát.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20.5./ Az Ajánlatkérő a pályázat lebonyolításának időtartama alatt, minden eseményről megfelelő dokumentumot készít, - amelyet minden Pályázónak azonos módon és időben, az esemény bekövetkezését követő 2 napon belül küld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20.6./ A pályázati eljárással kapcsolatban, az Ajánlatkérő részéről a kapcsolattartó: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Molnár István – Tatabányai Szakképzési Centrum Eötvös Loránd Szakgimnáziuma és Szakközépiskolája, gyakorlati oktatásvezető</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Tel.: 06(30)552-2707</w:t>
      </w:r>
    </w:p>
    <w:p>
      <w:pPr>
        <w:pStyle w:val="Normal"/>
        <w:jc w:val="both"/>
        <w:rPr/>
      </w:pPr>
      <w:r>
        <w:rPr>
          <w:rFonts w:eastAsia="Times New Roman" w:cs="Times New Roman" w:ascii="Times New Roman" w:hAnsi="Times New Roman"/>
          <w:sz w:val="24"/>
          <w:szCs w:val="24"/>
        </w:rPr>
        <w:t>E-mail: molnarpity86@gmail.com</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20.7./ A Pályázó a pályázati határidő lejárta előtt legkésőbb 2 (két) nappal – a pályázattal kapcsolatban – írásban kiegészítő, és értelmező tájékoztatást kérhet (vagyis kérdezhet) az Ajánlatkérőtől. Az Ajánlatkérő a kiegészítő tájékoztatást (a válaszokat) a pályázati határidő lejárta előtt, minden Pályázó számára írásban (faxon/e-mail-en) küldi meg.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20.8./ A pályázati eljárással kapcsolatban, az Ajánlatkérő részéről döntéshozó képviselő: </w:t>
      </w:r>
    </w:p>
    <w:p>
      <w:pPr>
        <w:pStyle w:val="Normal"/>
        <w:jc w:val="both"/>
        <w:rPr/>
      </w:pPr>
      <w:r>
        <w:rPr>
          <w:rFonts w:eastAsia="Times New Roman" w:cs="Times New Roman" w:ascii="Times New Roman" w:hAnsi="Times New Roman"/>
          <w:sz w:val="24"/>
          <w:szCs w:val="24"/>
        </w:rPr>
        <w:t>Grúber György – Tatabányai Szakképzési Centrum Eötvös Loránd Szakgimnáziuma és Szakközépiskolája tagintézménye - igazgató</w:t>
      </w:r>
    </w:p>
    <w:p>
      <w:pPr>
        <w:pStyle w:val="Normal"/>
        <w:jc w:val="both"/>
        <w:rPr/>
      </w:pPr>
      <w:r>
        <w:rPr>
          <w:rFonts w:eastAsia="Times New Roman" w:cs="Times New Roman" w:ascii="Times New Roman" w:hAnsi="Times New Roman"/>
          <w:sz w:val="24"/>
          <w:szCs w:val="24"/>
        </w:rPr>
        <w:t>Tel.: 06(34) 361-600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20.9./ A pályázat nyertese az összességében legkedvezőbb érvényes pályázatot benyújtó Pályázó. Az ajánlatok részszempontok szerinti tartalmi elemeinek értékelése során adható pontszám alsó és felső határa: 1-100. A részszempontokon belül, az értékelési pontszám arányosítással kerül kiszámításra. A legjobb ajánlat a maximális pontszámot kapja. A következő ajánlatok pontszámai a legjobb ajánlathoz történő arányosítással kerülnek kiszámításra.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20.10./ A nyertes Pályázónak a tárgybeli szolgáltatásokat a jelen Pályázati Felhívás 2. pontjában megjelölt teljesítési helyen kell elvégeznie. A szállítások elvégzését, azok ütemezését a Pályázó az Ajánlatkérő képviselőjével köteles egyeztetni.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20.11./ Ajánlatkérő előírja a szállítás során a szállítólevél vezetését.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20.12./ Az Ajánlatkérő tájékoztatja a Pályázókat arra vonatkozólag, hogy amennyiben a nyertes Pályázó visszalép, akkor az Ajánlatkérő az írásbeli Összegzésben meghatározott, nyertes ajánlatot követő legkedvezőbb ajánlatot tevővel köt szerződést, - amennyiben a rendelkezésre álló keretösszegen belüli annak ajánlata.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20.13./ Az Ajánlatkérő fenntartja magának azt a jogot, hogy az eljárás annak bármely szakaszában visszavonásra kerüljön bármiféle jogi és/vagy anyagi következmény nélkül.</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20.14./ Üzleti titok alatt Ajánlatkérő a Ptk-ban meghatározott fogalmat érti. Ajánlattevő ajánlatában közölt üzleti titoknak számító adat nyilvánosságra hozatalát megtilthatja. Nem korlátozható, illetve nem tiltható meg, olyan adat nyilvánosságra hozatala, amely közérdekű adatok nyilvánosságára és a közérdekből nyilvános adatra vonatkozó, külön törvényben meghatározott adatszolgáltatási és tájékoztatási kötelezettség alá esik.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20.15./ Ajánlatkérő az ajánlattevők részére - az Ajánlatkérő érdekében a pályázati eljárásban - adott tájékoztatást, adatot, információt üzleti titoknak minősít.</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A pályázati felhívás anyaga elfogadásának határnapja: 2017. augusztus  24.</w:t>
      </w:r>
    </w:p>
    <w:p>
      <w:pPr>
        <w:pStyle w:val="Normal"/>
        <w:jc w:val="both"/>
        <w:rPr/>
      </w:pPr>
      <w:r>
        <w:rPr>
          <w:rFonts w:eastAsia="Times New Roman" w:cs="Times New Roman" w:ascii="Times New Roman" w:hAnsi="Times New Roman"/>
          <w:sz w:val="24"/>
          <w:szCs w:val="24"/>
        </w:rPr>
        <w:t>Oroszlány</w:t>
      </w:r>
      <w:r>
        <w:rPr>
          <w:rFonts w:eastAsia="Times New Roman" w:cs="Times New Roman" w:ascii="Times New Roman" w:hAnsi="Times New Roman"/>
          <w:sz w:val="24"/>
          <w:szCs w:val="24"/>
        </w:rPr>
        <w:t>, 2017. augusztus 24.</w:t>
      </w:r>
    </w:p>
    <w:p>
      <w:pPr>
        <w:pStyle w:val="Normal"/>
        <w:ind w:left="720" w:firstLine="720"/>
        <w:jc w:val="center"/>
        <w:rPr/>
      </w:pPr>
      <w:r>
        <w:rPr>
          <w:rFonts w:eastAsia="Times New Roman" w:cs="Times New Roman" w:ascii="Times New Roman" w:hAnsi="Times New Roman"/>
          <w:sz w:val="24"/>
          <w:szCs w:val="24"/>
        </w:rPr>
        <w:t>Grúber György - igazgató</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pPr>
      <w:r>
        <w:rPr>
          <w:rFonts w:eastAsia="Times New Roman" w:cs="Times New Roman" w:ascii="Times New Roman" w:hAnsi="Times New Roman"/>
          <w:sz w:val="24"/>
          <w:szCs w:val="24"/>
        </w:rPr>
        <w:t>II.</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SEGÉDLETEK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Felhívjuk az ajánlattevők (pályázók) figyelmét, hogy az egyes ajánlattevők (pályázók) nyilatkozataikat a jelen dokumentációban megadott iratminták tartalma szerint kötelesek megtenni!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Ajánlattevők kötelesek a cégjegyzékre jogosult képviselőik aláírási címpéldányának benyújtására egyszerű másolati példányban, továbbá hatályos cégkivonatuk benyújtására egyszerű másolati példányban.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BORÍTÓLAP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left"/>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4531"/>
        <w:gridCol w:w="4530"/>
      </w:tblGrid>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Az eljárás tárgya: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Tatabányai Szakképzési Centrum Eötvös Loránd Szakgimnáziuma és Szakközépiskolája tagintézménye palástköszörű eszközbeszerzés</w:t>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ajánlatot adó cég pontos neve: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Címe:</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Telefonszáma: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Telefax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E-mail címe: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cég cégjegyzék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Statisztikai számjele: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Adószáma: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számlát vezető bank neve és számla száma: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tárgyban érintett kapcsolattartó személy neve:  </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tárgyban érintett kapcsolattartó személy telefonszáma:</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tárgyban érintett kapcsolattartó személy e-mail címe:</w:t>
            </w:r>
          </w:p>
        </w:tc>
        <w:tc>
          <w:tcPr>
            <w:tcW w:w="4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ind w:left="720" w:hanging="0"/>
        <w:contextualSpacing/>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before="0" w:after="160"/>
        <w:ind w:left="720" w:hanging="0"/>
        <w:contextualSpacing/>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FELOLVASÓLAP</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megnevezése: ……………………………………………………………………..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székhelye: ………………………………………………………………………...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Pályázati ár (vállalási ár, nettó Ft/hó):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Általános forgalmi adó összege (2017. évi szabályozást alapul véve):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Bruttó vállalási ár: ……………………………………………………………………... Ft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Vállalt garancia/jótállás: ……………………………...nap</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felolvasólapon szereplő vállalási ár teljes körű ár, amely tartalmaz – minden, a felek között megkötött vállalkozói díj teljesítésével kapcsolatos, valamennyi költséget.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ajánlattevő (pályázó) cégszerű aláírása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Közös ajánlattevők nyilatkozata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/amennyiben közösen tesznek ajánlatot/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közös ajánlattevő cégjegyzésre jogosult képviselője és alulírott …………………………………………………………….., mint a(z) …………………… …………… (székhely: ………………………………………………………………………………….) közös ajánlattevő cégjegyzésre jogosult képviselője – a jelen nyilatkozatunk kiállításával - kijelentjük, hogy a fent megnevezett pályázati eljárásban közösen teszünk ajánlatot.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Egyúttal kijelentjük, hogy a tárgybani pályázat kidolgozása és megtétele során, a pályázattal) (ajánlattal összefüggő feladat(ok) megvalósítása érdekében – mint közös ajánlattevők – veszünk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w:t>
        <w:tab/>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  cégszerű aláírása</w:t>
        <w:tab/>
        <w:tab/>
        <w:tab/>
        <w:tab/>
        <w:t>közös ajánlattevő  cégszerű aláírása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ajánlattevők felelősségvállalási nyilatkozata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/amennyiben közösen tesznek ajánlatot/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közös ajánlattevő cégjegyzésre jogosult képviselője és alulírott …………………………………………………………….., mint a(z) …………………… …………… (székhely: ………………………………………………………………………………….) közös ajánlattevő cégjegyzésre jogosult képviselője - jelen nyilatkozatunk kiállításával - kijelentjük, hogy a fent megnevezett pályázati eljárásban közösen teszünk ajánlatot, az ajánlat során a feladat megvalósítása érdekében – mint közös ajánlattevők – veszünk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Ezúton nyilatkozunk, hogy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 xml:space="preserve">tárgyú beszerzési eljárásban benyújtott ajánlatunkban foglalt tevékenységekkel kapcsolatban, korlátlan és egyetemleges felelősséget vállalunk.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Jelen nyilatkozatunkkal igazoljuk, hogy a pályázati felhívásban közzétett és a dokumentációban leírt feltételeket teljes egészében elfogadjuk és azt, hogy a dokumentációban ismertetetteket minden tekintetben kielégítőnek tartjuk, - az egyértelmű ajánlat megtétele vonatkozásában.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projekt operatív lebonyolítása érdekében mindkét cégnél egy-egy megbízottat jelöltünk ki, az alábbiak szerint: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Megbízott személy 1. közös ajánlattevő részéről: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Megbízott személy 2. közös ajánlattevő részéről: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közös ajánlattevők a projekt megvalósításában, az alábbiak szerint vesznek részt: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Közös ajánlattevő feladatai: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Közös ajánlattevő feladatai: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Közös akarattal ezennel úgy nyilatkozunk, hogy a közös ajánlattevők képviseletére, a nevükben történő eljárásra, nyilatkozattételre, kötelezettségvállalásra, ideértve a szerződés megkötését és a szerződés teljesítése során szükséges képviseletet is, a ………………………………………………. teljes joggal jogosult.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 xml:space="preserve">.    </w:t>
        <w:tab/>
        <w:tab/>
        <w:tab/>
        <w:tab/>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közös ajánlattevő  cégszerű aláírása</w:t>
        <w:tab/>
        <w:tab/>
        <w:tab/>
        <w:tab/>
        <w:t>közös ajánlattevő  cégszerű aláírása</w:t>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 mint a(z) …………………… …………… (székhely: ………………………………………………………………………………….) ajánlattevő (pályázó) cégjegyzésre jogosult képviselője,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 xml:space="preserve">tárgyú pályázati eljárás során, a pályázati felhívásban és a dokumentációban foglalt valamennyi formai és tartalmi követelmény, műszaki leírás átvétele és gondos áttekintése után kijelentem, hogy a pályázati felhívásban és a dokumentációban foglalt valamennyi feltételt megismertük, megértettük és azokat a jelen nyilatkozattal elfogadjuk. A pályázati dokumentációban ismertetetteket minden vonatkozásban kielégítőnek tarjuk az egyértelmű ajánlat megtétele vonatkozásában. A jelen ajánlat elkészítésével ajánlatot teszünk a pályázati felhívásban és a dokumentációban meghatározottak szerint a szerződéses és egyéb szakmai feltételeknek megfelelő módon történő teljesítésére, - az ajánlat részét képező összesített költségeket tartalmazó ajánlat alapján, és a Felolvasólapon szereplő ajánlattételi áron.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Nyilatkozzuk továbbá, hogy a kis- és középvállalkozásokról, fejlődésük támogatásáról szóló törvény szerint Társaságunk mikro-, kis-, középvállalkozásnak minősül / nem tartozik a törvény hatálya alá*.  ( * A megfelelőt kérjük aláhúzni!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2004. évi XXXIV. tv. (Kkvt.) 2-3. §-ai értelmében: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(1) KKV-nak minősül az a vállalkozás, amelynek a) összes foglalkoztatotti létszáma 250 főnél kevesebb, és b) éves nettó árbevétele legfeljebb 50 millió eurónak megfelelő forintösszeg, vagy mérlegfőösszege legfeljebb 43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(2) A KKV kategórián belül kisvállalkozásnak minősül az a vállalkozás, amelynek a) összes foglalkoztatotti létszáma 50 főnél kevesebb, és b) éves nettó árbevétele vagy mérlegfőösszege legfeljebb 10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(3) A KKV kategórián belül mikrovállalkozásnak minősül az a vállalkozás, amelynek a) összes foglalkoztatotti létszáma 10 főnél kevesebb, és b) éves nettó árbevétele vagy mérlegfőösszege legfeljebb 2 millió eurónak megfelelő forintösszeg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(4) Nem minősül KKV-nak az a vállalkozás, amelyben az állam vagy az önkormányzat közvetlen vagy közvetett tulajdoni részesedése – tőke vagy szavazati joga alapján – külön- külön vagy együttesen meghaladja a 25%-ot.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 (5) A (4) bekezdésben foglalt korlátozó rendelkezést nem kell alkalmazni a 19. § 1. pontjában  meghatározott befektetők részesedése esetében./”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216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r>
        <w:br w:type="page"/>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tárgyú beszerzési </w:t>
      </w:r>
      <w:r>
        <w:rPr>
          <w:rFonts w:eastAsia="Times New Roman" w:cs="Times New Roman" w:ascii="Times New Roman" w:hAnsi="Times New Roman"/>
          <w:sz w:val="24"/>
          <w:szCs w:val="24"/>
        </w:rPr>
        <w:t xml:space="preserve">eljárás alapján megkötendő szerződés teljesítéséhez Társaságunk, illetve általunk a munkák megvalósításába bevonni kívánt alvállalkozók – résztvevő szervezetek, személyek, – valamint azok vezetői, munkavállalói és hozzátartozóik semmilyen minőségben sem vettek részt az eljárás előkészítésében, beleértve a műszaki előírások, a pályázati felhívás és a hozzá kapcsolódó dokumentáció kidolgozását. Cégünkkel, valamint szemben a jelen eljárás során az összeférhetetlenség egyetlen esete sem áll fenn.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Tatabányai Szakképzési Centrum Eötvös Loránd Szakgimnáziuma és Szakközépiskolája tagintézménye palástköszörű eszközbeszerzés tárgyú pályázathoz</w:t>
      </w:r>
    </w:p>
    <w:p>
      <w:pPr>
        <w:pStyle w:val="Normal"/>
        <w:rPr/>
      </w:pPr>
      <w:r>
        <w:rPr/>
      </w:r>
    </w:p>
    <w:p>
      <w:pPr>
        <w:pStyle w:val="Normal"/>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nemzeti vagyonról szóló 2011. évi CXCVI. törvény 3.§ (1) bekezdés 1. b) pontjában meghatározott átlátható szervezet részére az államháztartásról szóló 2011. évi CXCV. törvény 41. § (6) bekezdésében előírt kötelezettség teljesítéséhez:</w:t>
      </w:r>
    </w:p>
    <w:p>
      <w:pPr>
        <w:pStyle w:val="Normal"/>
        <w:numPr>
          <w:ilvl w:val="0"/>
          <w:numId w:val="1"/>
        </w:numPr>
        <w:spacing w:lineRule="auto" w:line="240" w:before="0" w:after="0"/>
        <w:ind w:left="360" w:hanging="360"/>
        <w:rPr>
          <w:rFonts w:ascii="Times New Roman" w:hAnsi="Times New Roman" w:eastAsia="Times New Roman" w:cs="Times New Roman"/>
          <w:sz w:val="24"/>
          <w:szCs w:val="24"/>
        </w:rPr>
      </w:pPr>
      <w:r>
        <w:rPr>
          <w:rFonts w:eastAsia="Times New Roman" w:cs="Times New Roman" w:ascii="Times New Roman" w:hAnsi="Times New Roman"/>
          <w:sz w:val="24"/>
          <w:szCs w:val="24"/>
        </w:rPr>
        <w:t>A nyilatkozattételre kötelezett szervezet adatai a cégkivonat és az aláírási címpéldány alapján:</w:t>
      </w:r>
    </w:p>
    <w:p>
      <w:pPr>
        <w:pStyle w:val="Normal"/>
        <w:ind w:left="36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W w:w="8594" w:type="dxa"/>
        <w:jc w:val="left"/>
        <w:tblInd w:w="3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3722"/>
        <w:gridCol w:w="4871"/>
      </w:tblGrid>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Szervezet neve:</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Székhelye:</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Adóilletősége (ha az nem Magyarország):</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Cégjegyzékszáma: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Adószáma: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Statisztikai számjel</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Cégjegyzésre jogosult képviselő(k) neve:</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20" w:hRule="atLeast"/>
        </w:trPr>
        <w:tc>
          <w:tcPr>
            <w:tcW w:w="37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Cégjegyzés módja:</w:t>
            </w:r>
          </w:p>
        </w:tc>
        <w:tc>
          <w:tcPr>
            <w:tcW w:w="4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ÖNÁLLÓ                                 EGYÜTTES</w:t>
            </w:r>
          </w:p>
        </w:tc>
      </w:tr>
    </w:tbl>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 (alulírottak) az 1.) pontban meghatározott szervezet cégjegyzésre jogosult képviselője (képviselői) nyilatkozom (nyilatkozzuk), hogy az általam (általunk) jegyzett </w:t>
      </w:r>
      <w:r>
        <w:rPr>
          <w:rFonts w:eastAsia="Times New Roman" w:cs="Times New Roman" w:ascii="Times New Roman" w:hAnsi="Times New Roman"/>
          <w:b/>
          <w:sz w:val="24"/>
          <w:szCs w:val="24"/>
        </w:rPr>
        <w:t>gazdálkodó szervezet</w:t>
      </w:r>
      <w:r>
        <w:rPr>
          <w:rFonts w:eastAsia="Times New Roman" w:cs="Times New Roman" w:ascii="Times New Roman" w:hAnsi="Times New Roman"/>
          <w:sz w:val="24"/>
          <w:szCs w:val="24"/>
        </w:rPr>
        <w:t xml:space="preserve"> megfelel a következő feltételeknek, ennek alapján a nemzeti vagyonról szóló 2011. évi CXCVI. törvény. 3. § (1) bekezdés 1.b) pontja szerinti átlátható szervezetnek minősül:</w:t>
      </w:r>
    </w:p>
    <w:p>
      <w:pPr>
        <w:pStyle w:val="Normal"/>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Olyan belföldi vagy külföldi jogi személy vagy jogi személyiséggel nem rendelkező gazdálkodó szervezet, amely megfelel a következő feltételeknek:</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szervezet </w:t>
      </w:r>
      <w:r>
        <w:rPr>
          <w:rFonts w:eastAsia="Times New Roman" w:cs="Times New Roman" w:ascii="Times New Roman" w:hAnsi="Times New Roman"/>
          <w:b/>
          <w:sz w:val="24"/>
          <w:szCs w:val="24"/>
        </w:rPr>
        <w:t>tulajdonosi szerkezete</w:t>
      </w:r>
      <w:r>
        <w:rPr>
          <w:rFonts w:eastAsia="Times New Roman" w:cs="Times New Roman" w:ascii="Times New Roman" w:hAnsi="Times New Roman"/>
          <w:sz w:val="24"/>
          <w:szCs w:val="24"/>
        </w:rPr>
        <w:t xml:space="preserve">, a pénzmosás és a terrorizmus finanszírozása megelőzéséről és megakadályozásáról szóló törvény szerint meghatározott </w:t>
      </w:r>
      <w:r>
        <w:rPr>
          <w:rFonts w:eastAsia="Times New Roman" w:cs="Times New Roman" w:ascii="Times New Roman" w:hAnsi="Times New Roman"/>
          <w:b/>
          <w:sz w:val="24"/>
          <w:szCs w:val="24"/>
        </w:rPr>
        <w:t>tényleges tulajdonosa megismerhető</w:t>
      </w:r>
      <w:r>
        <w:rPr>
          <w:rFonts w:eastAsia="Times New Roman" w:cs="Times New Roman" w:ascii="Times New Roman" w:hAnsi="Times New Roman"/>
          <w:sz w:val="24"/>
          <w:szCs w:val="24"/>
        </w:rPr>
        <w:t>;</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pPr>
        <w:pStyle w:val="Normal"/>
        <w:numPr>
          <w:ilvl w:val="1"/>
          <w:numId w:val="1"/>
        </w:numPr>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szervezet </w:t>
      </w:r>
      <w:r>
        <w:rPr>
          <w:rFonts w:eastAsia="Times New Roman" w:cs="Times New Roman" w:ascii="Times New Roman" w:hAnsi="Times New Roman"/>
          <w:b/>
          <w:sz w:val="24"/>
          <w:szCs w:val="24"/>
        </w:rPr>
        <w:t>nem minősül</w:t>
      </w:r>
      <w:r>
        <w:rPr>
          <w:rFonts w:eastAsia="Times New Roman" w:cs="Times New Roman" w:ascii="Times New Roman" w:hAnsi="Times New Roman"/>
          <w:sz w:val="24"/>
          <w:szCs w:val="24"/>
        </w:rPr>
        <w:t xml:space="preserve"> a társasági adóról és az osztalékadóról szóló törvény szerint meghatározott </w:t>
      </w:r>
      <w:r>
        <w:rPr>
          <w:rFonts w:eastAsia="Times New Roman" w:cs="Times New Roman" w:ascii="Times New Roman" w:hAnsi="Times New Roman"/>
          <w:b/>
          <w:sz w:val="24"/>
          <w:szCs w:val="24"/>
        </w:rPr>
        <w:t>ellenőrzött külföldi társaságnak</w:t>
      </w:r>
      <w:r>
        <w:rPr>
          <w:rFonts w:eastAsia="Times New Roman" w:cs="Times New Roman" w:ascii="Times New Roman" w:hAnsi="Times New Roman"/>
          <w:sz w:val="24"/>
          <w:szCs w:val="24"/>
        </w:rPr>
        <w:t>;</w:t>
      </w:r>
    </w:p>
    <w:p>
      <w:pPr>
        <w:pStyle w:val="Normal"/>
        <w:numPr>
          <w:ilvl w:val="1"/>
          <w:numId w:val="1"/>
        </w:numPr>
        <w:tabs>
          <w:tab w:val="left" w:pos="7371" w:leader="none"/>
          <w:tab w:val="left" w:pos="9923" w:leader="none"/>
        </w:tabs>
        <w:spacing w:lineRule="auto" w:line="240" w:before="0" w:after="0"/>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szervezetben</w:t>
      </w:r>
      <w:r>
        <w:rPr>
          <w:rFonts w:eastAsia="Times New Roman" w:cs="Times New Roman" w:ascii="Times New Roman" w:hAnsi="Times New Roman"/>
          <w:b/>
          <w:sz w:val="24"/>
          <w:szCs w:val="24"/>
        </w:rPr>
        <w:t xml:space="preserve"> közvetlenül vagy közvetetten több mint 25%-os tulajdonnal, befolyással vagy szavazati joggal bíró jogi személy, jogi személyiséggel nem rendelkező gazdálkodó szervezet tekintetében az a), b), c) pontszerinti feltételek fennállnak</w:t>
      </w:r>
      <w:r>
        <w:rPr>
          <w:rFonts w:eastAsia="Times New Roman" w:cs="Times New Roman" w:ascii="Times New Roman" w:hAnsi="Times New Roman"/>
          <w:sz w:val="24"/>
          <w:szCs w:val="24"/>
        </w:rPr>
        <w:t xml:space="preserve">. </w:t>
      </w:r>
    </w:p>
    <w:p>
      <w:pPr>
        <w:pStyle w:val="Normal"/>
        <w:tabs>
          <w:tab w:val="left" w:pos="709"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Kijelentem (kijelentjük), és aláírásommal (aláírásunkkal) igazolom (igazoljuk), hogy a jelen nyilatkozatban foglaltak a valóságnak mindenben megfelelnek. Tudomásul veszem (vesszük), hogy a nemzeti vagyonról szóló 2011. évi CXCVI. törvény 3 § (2) bekezdésében foglaltak alapján a valótlan tartalmú nyilatkozat alapján kötött szerződés semmis.</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Tudomásul veszem, hogy a Tatabányai Szakképzési Centrum szerződéses partnere nem fogadhat, és nem ajánlhat fel, nem adhat (illetve erre vonatkozóan nem állapodhat meg) bármely, a Tatabányai Szakképzési Centrum megbízásából eljáró tisztviselőnek, munkavállalónak, képviselőnek, illetve bármely, a Tatabányai Szakképzési Centrum megbízásából eljáró harmadik személynek ajándékot, illetve pénzbeli vagy nem pénzbeli juttatást. Ugyanez vonatkozik arra az esetre is, ha az érintett személy a Tatabányai Szakképzési Centrummal kötendő megállapodással kapcsolatosan tárgyalások folytatására, szerződéskötésre illetve teljesítésre hivatalosan nincs felhatalmazva, arra nem jogosult.</w:t>
      </w:r>
    </w:p>
    <w:p>
      <w:pPr>
        <w:pStyle w:val="ListParagrap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ind w:left="36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Jelen nyilatkozatot az államháztartásról szóló 2011. évi CXCV. törvény 41. § (6) bekezdésében foglalt feltétel teljesítése érdekében teszem.</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numPr>
          <w:ilvl w:val="0"/>
          <w:numId w:val="2"/>
        </w:numPr>
        <w:spacing w:before="0" w:after="0"/>
        <w:ind w:left="360" w:hanging="360"/>
        <w:rPr>
          <w:sz w:val="24"/>
          <w:szCs w:val="24"/>
        </w:rPr>
      </w:pPr>
      <w:r>
        <w:rPr>
          <w:rFonts w:eastAsia="Times New Roman" w:cs="Times New Roman" w:ascii="Times New Roman" w:hAnsi="Times New Roman"/>
          <w:sz w:val="24"/>
          <w:szCs w:val="24"/>
        </w:rPr>
        <w:t>cégünk nem áll végelszámolás, ellene indított csődeljárás vagy felszámolási eljárás alatt;</w:t>
      </w:r>
    </w:p>
    <w:p>
      <w:pPr>
        <w:pStyle w:val="Normal"/>
        <w:spacing w:before="0" w:after="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ind w:left="360" w:hanging="360"/>
        <w:rPr>
          <w:sz w:val="24"/>
          <w:szCs w:val="24"/>
        </w:rPr>
      </w:pPr>
      <w:bookmarkStart w:id="0" w:name="gjdgxs"/>
      <w:bookmarkEnd w:id="0"/>
      <w:r>
        <w:rPr>
          <w:rFonts w:eastAsia="Times New Roman" w:cs="Times New Roman" w:ascii="Times New Roman" w:hAnsi="Times New Roman"/>
          <w:sz w:val="24"/>
          <w:szCs w:val="24"/>
        </w:rPr>
        <w:t>tevékenységünk hatályos, nincs felfüggesztve;</w:t>
      </w:r>
    </w:p>
    <w:p>
      <w:pPr>
        <w:pStyle w:val="Normal"/>
        <w:numPr>
          <w:ilvl w:val="0"/>
          <w:numId w:val="2"/>
        </w:numPr>
        <w:ind w:left="360" w:hanging="360"/>
        <w:rPr>
          <w:sz w:val="24"/>
          <w:szCs w:val="24"/>
        </w:rPr>
      </w:pPr>
      <w:bookmarkStart w:id="1" w:name="30j0zll"/>
      <w:bookmarkEnd w:id="1"/>
      <w:r>
        <w:rPr>
          <w:rFonts w:eastAsia="Times New Roman" w:cs="Times New Roman" w:ascii="Times New Roman" w:hAnsi="Times New Roman"/>
          <w:sz w:val="24"/>
          <w:szCs w:val="24"/>
        </w:rPr>
        <w:t>gazdasági, illetőleg szakmai tevékenységünkkel kapcsolatban jogerős bírósági ítéletben megállapított bűncselekményt nem követtünk el,</w:t>
      </w:r>
    </w:p>
    <w:p>
      <w:pPr>
        <w:pStyle w:val="Normal"/>
        <w:numPr>
          <w:ilvl w:val="0"/>
          <w:numId w:val="2"/>
        </w:numPr>
        <w:ind w:left="360" w:hanging="360"/>
        <w:rPr>
          <w:sz w:val="24"/>
          <w:szCs w:val="24"/>
        </w:rPr>
      </w:pPr>
      <w:bookmarkStart w:id="2" w:name="1fob9te"/>
      <w:bookmarkEnd w:id="2"/>
      <w:r>
        <w:rPr>
          <w:rFonts w:eastAsia="Times New Roman" w:cs="Times New Roman" w:ascii="Times New Roman" w:hAnsi="Times New Roman"/>
          <w:sz w:val="24"/>
          <w:szCs w:val="24"/>
        </w:rPr>
        <w:t>egy évnél régebben lejárt adó-, vámfizetési vagy társadalombiztosítási járulékfizetési kötelezettség – a letelepedése szerinti ország vagy az ajánlatkérő székhelye szerinti ország jogszabályai alapján –nem terhel minket;</w:t>
      </w:r>
    </w:p>
    <w:p>
      <w:pPr>
        <w:pStyle w:val="Normal"/>
        <w:numPr>
          <w:ilvl w:val="0"/>
          <w:numId w:val="2"/>
        </w:numPr>
        <w:ind w:left="360" w:hanging="360"/>
        <w:rPr>
          <w:sz w:val="24"/>
          <w:szCs w:val="24"/>
        </w:rPr>
      </w:pPr>
      <w:bookmarkStart w:id="3" w:name="3znysh7"/>
      <w:bookmarkEnd w:id="3"/>
      <w:r>
        <w:rPr>
          <w:rFonts w:eastAsia="Times New Roman" w:cs="Times New Roman" w:ascii="Times New Roman" w:hAnsi="Times New Roman"/>
          <w:sz w:val="24"/>
          <w:szCs w:val="24"/>
        </w:rPr>
        <w:t>munkaügyi bírsággal vagy az adózás rendjéről szóló törvény szerinti mulasztási bírsággal sújtott jogszabálysértést nem követtünk el;</w:t>
      </w:r>
    </w:p>
    <w:p>
      <w:pPr>
        <w:pStyle w:val="Normal"/>
        <w:numPr>
          <w:ilvl w:val="0"/>
          <w:numId w:val="2"/>
        </w:numPr>
        <w:ind w:left="360" w:hanging="360"/>
        <w:rPr>
          <w:sz w:val="24"/>
          <w:szCs w:val="24"/>
        </w:rPr>
      </w:pPr>
      <w:bookmarkStart w:id="4" w:name="2et92p0"/>
      <w:bookmarkEnd w:id="4"/>
      <w:r>
        <w:rPr>
          <w:rFonts w:eastAsia="Times New Roman" w:cs="Times New Roman" w:ascii="Times New Roman" w:hAnsi="Times New Roman"/>
          <w:sz w:val="24"/>
          <w:szCs w:val="24"/>
        </w:rPr>
        <w:t>a büntető törvénykönyv szerinti bűnszervezetben részvétel – ideértve bűncselekmény bűnszervezetben történő elkövetését is – vesztegetés, vesztegetés nemzetközi kapcsolatokban, az európai közösségek pénzügyi érdekeinek megsértése, illetve pénzmosás bűncselekményt, vagy személyes joga szerinti hasonló bűncselekményt nem követtünk el;</w:t>
      </w:r>
    </w:p>
    <w:p>
      <w:pPr>
        <w:pStyle w:val="Normal"/>
        <w:numPr>
          <w:ilvl w:val="0"/>
          <w:numId w:val="2"/>
        </w:numPr>
        <w:ind w:left="360" w:hanging="360"/>
        <w:rPr>
          <w:sz w:val="24"/>
          <w:szCs w:val="24"/>
        </w:rPr>
      </w:pPr>
      <w:r>
        <w:rPr>
          <w:rFonts w:eastAsia="Times New Roman" w:cs="Times New Roman" w:ascii="Times New Roman" w:hAnsi="Times New Roman"/>
          <w:sz w:val="24"/>
          <w:szCs w:val="24"/>
        </w:rPr>
        <w:t>a szolgáltatás nyújtásához a letelepedése szerinti országban előírt engedéllyel, jogosítvánnyal rendelkezünk;</w:t>
      </w:r>
    </w:p>
    <w:p>
      <w:pPr>
        <w:pStyle w:val="Normal"/>
        <w:numPr>
          <w:ilvl w:val="0"/>
          <w:numId w:val="2"/>
        </w:numPr>
        <w:ind w:left="360" w:hanging="360"/>
        <w:rPr>
          <w:sz w:val="24"/>
          <w:szCs w:val="24"/>
        </w:rPr>
      </w:pPr>
      <w:r>
        <w:rPr>
          <w:rFonts w:eastAsia="Times New Roman" w:cs="Times New Roman" w:ascii="Times New Roman" w:hAnsi="Times New Roman"/>
          <w:sz w:val="24"/>
          <w:szCs w:val="24"/>
        </w:rPr>
        <w:t>székhely szerinti önkormányzati adóhatóság által nyilvántartott, egy évnél régebben lejárt adófizetési kötelezettség nem terhel minket;</w:t>
      </w:r>
    </w:p>
    <w:p>
      <w:pPr>
        <w:pStyle w:val="Normal"/>
        <w:numPr>
          <w:ilvl w:val="0"/>
          <w:numId w:val="2"/>
        </w:numPr>
        <w:ind w:left="360" w:hanging="360"/>
        <w:rPr>
          <w:sz w:val="24"/>
          <w:szCs w:val="24"/>
        </w:rPr>
      </w:pPr>
      <w:r>
        <w:rPr>
          <w:rFonts w:eastAsia="Times New Roman" w:cs="Times New Roman" w:ascii="Times New Roman" w:hAnsi="Times New Roman"/>
          <w:sz w:val="24"/>
          <w:szCs w:val="24"/>
        </w:rPr>
        <w:t>A 2011. évi CXCVI. tv. alapján átlátható szervezetnek minősülünk;</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color w:val="00000A"/>
          <w:sz w:val="24"/>
          <w:szCs w:val="24"/>
        </w:rPr>
        <w:t xml:space="preserve">a 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spacing w:lineRule="auto" w:line="276" w:before="280" w:after="0"/>
        <w:ind w:left="765" w:hanging="0"/>
        <w:contextualSpacing/>
        <w:jc w:val="both"/>
        <w:rPr>
          <w:sz w:val="24"/>
          <w:szCs w:val="24"/>
        </w:rPr>
      </w:pPr>
      <w:r>
        <w:rPr>
          <w:rFonts w:eastAsia="Times New Roman" w:cs="Times New Roman" w:ascii="Times New Roman" w:hAnsi="Times New Roman"/>
          <w:sz w:val="24"/>
          <w:szCs w:val="24"/>
        </w:rPr>
        <w:t>a) Az ajánlattevő megfelel az államháztartásról szóló 2011. évi CXCV. törvény (a továbbiakban: Áht.) 50. § (1) a) pontjában meghatározott feltételeknek, valamint az Ávr. 82. §-ában foglalt, a rendezett munkaügyi kapcsolatok követelményének.</w:t>
      </w:r>
    </w:p>
    <w:p>
      <w:pPr>
        <w:pStyle w:val="Normal"/>
        <w:spacing w:lineRule="auto" w:line="276" w:before="0" w:after="0"/>
        <w:ind w:left="765"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280"/>
        <w:ind w:left="765" w:hanging="0"/>
        <w:contextualSpacing/>
        <w:jc w:val="both"/>
        <w:rPr>
          <w:sz w:val="24"/>
          <w:szCs w:val="24"/>
        </w:rPr>
      </w:pPr>
      <w:r>
        <w:rPr>
          <w:rFonts w:eastAsia="Times New Roman" w:cs="Times New Roman" w:ascii="Times New Roman" w:hAnsi="Times New Roman"/>
          <w:sz w:val="24"/>
          <w:szCs w:val="24"/>
        </w:rPr>
        <w:t>b)  Az ajánlattevő vonatkozásában a rendezett munkaügyi kapcsolatok követelménye munkavállaló(k) foglalkoztatásának hiányában nem értelmezhető.</w:t>
      </w:r>
    </w:p>
    <w:p>
      <w:pPr>
        <w:pStyle w:val="Normal"/>
        <w:spacing w:lineRule="auto" w:line="276" w:before="0" w:after="2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76" w:before="0" w:after="280"/>
        <w:ind w:left="765" w:hanging="0"/>
        <w:contextualSpacing/>
        <w:jc w:val="both"/>
        <w:rPr>
          <w:sz w:val="24"/>
          <w:szCs w:val="24"/>
        </w:rPr>
      </w:pPr>
      <w:r>
        <w:rPr>
          <w:rFonts w:eastAsia="Times New Roman" w:cs="Times New Roman" w:ascii="Times New Roman" w:hAnsi="Times New Roman"/>
          <w:sz w:val="24"/>
          <w:szCs w:val="24"/>
        </w:rPr>
        <w:t>c)  Az ajánlattevőnél, mint munkáltatónál szakszervezet, üzemi tanács, európai üzemi tanács, illetve különleges tárgyaló testület nem működik, illetőleg ezek működésének hiánya nem az ajánlattevő munkáltatónak a munkavállalók szervezkedési jogának megsértését eredményező, jogerős bírósági vagy hatósági határozattal megállapított jogsértő eljárása idézte elő.</w:t>
      </w:r>
    </w:p>
    <w:p>
      <w:pPr>
        <w:pStyle w:val="Normal"/>
        <w:tabs>
          <w:tab w:val="left" w:pos="426" w:leader="none"/>
        </w:tabs>
        <w:spacing w:lineRule="auto" w:line="27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(Kérjük, hogy az ajánlat aláírója az a), b), c) pont közül az ajánlattevőre vonatkozó pont aláhúzásával nyilatkozzon!)</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 xml:space="preserve">tárgyú pályázati eljárásban szereplő szerződés-tervezetet elfogadjuk és nyertességünk esetén – szerződésszerűen, maradéktalanul teljesítjük.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 xml:space="preserve">tárgyú pályázatunkat a Pályázati Felhívásban és a Pályázati Dokumentációban meghatározott tartalmi és formai követelményeknek megfelelően állítottuk össze.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Kijelentjük, hogy a Pályázati Felhívás feltételeit elfogadjuk. </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Kijelentjük, hogy ajánlatunkat a Pályázati Felhívásban meghatározott 60 napig fenntartjuk.</w:t>
      </w:r>
    </w:p>
    <w:p>
      <w:pPr>
        <w:pStyle w:val="Normal"/>
        <w:spacing w:lineRule="auto" w:line="36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Kijelentjük, hogy a pályázat tárgyát képező feladat nagyságrendjének teljes tudatában vagyunk, a szolgáltatást a szerződésben elvárt és meghatározott minőségben és színvonalon biztosítani tudjuk.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hogy Társaságunk 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pályázatunk vonatkozásában a Pályázati Felhívásban meghatározott meghiúsulási és késedelmi kötbér fizetési kötelezettségünknek, azok esetleges felmerülése esetén eleget teszünk.</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tabs>
          <w:tab w:val="left" w:pos="-720" w:leader="none"/>
          <w:tab w:val="left" w:pos="0"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Tatabányai Szakképzési Centrum munkatársairól időbeli korlátozás nélkül a részemre átadott bármilyen dokumentációból, tárgyalás során és bármilyen más módon tudomásomra jutott bármilyen adatot, információt megőrzöm.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Üzleti titoknak minősül különösen a Tatabányai Szakképzési Centrum tulajdonát képező, birtokomba került minden, jogi oltalom alá eső (szabadalom, know-how, stb.) és jogi oltalom alá nem eső (pl.: a Tatabányai Szakképzési Centrum üzletmenetét, gazdálkodását érintő elképzelések) szellemi alkotás, ötletek, valamint a Tatabányai Szakképzési Centrum üzletmenetére, üzleti kapcsolataira, az általam nyújtott szolgáltatás kapcsán és azon kívül tudomásomra jutott információk, gazdálkodásra vonatkozó adatok, illetve minden olyan adat és információ, amit a Cégek üzleti titoknak minősítenek, vagy jogosan annak tekint/hetnek.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Az üzleti titkot képező információkat nem vagyok jogosult harmadik személy tudomására hozni, publikálni, vagy bármely más módon hasznosítani, a Tatabányai Szakképzési Centrum érdekei ellen felhasználni. </w:t>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left" w:pos="-720" w:leader="none"/>
          <w:tab w:val="left" w:pos="0"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Tartózkodom minden olyan magatartástól, amely a Tatabányai Szakképzési Centrum gazdasági érdekeit veszélyeztetné. A Tatabányai Szakképzési Centrum által kötött bármilyen belső megállapodás tartalmát és bármilyen úton történt kommunikációt (tárgyalás, levelezés, telefonbeszélgetés, stb.) bizalmas információként kezelem. A fenti kötelezettségem megszegése esetén a hatályos jogszabályok szerint büntetőjogi és teljes anyagi felelősséggel tartozom.</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ind w:left="432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ind w:left="720" w:hanging="3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/MŰSZAKI ALKALMASSÁG/</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az alábbi referencialistában szereplő adatok a valóságnak megfelelnek:</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1580"/>
        <w:gridCol w:w="1788"/>
        <w:gridCol w:w="1105"/>
        <w:gridCol w:w="1104"/>
        <w:gridCol w:w="2019"/>
        <w:gridCol w:w="1465"/>
      </w:tblGrid>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szerződés tárgya és ennek körében végzett tevékenységek felsorolása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Ellenszolgáltatás nettó összege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Teljesítés ideje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Teljesítés helye </w:t>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 szerződést kötő másik fél és kapcsolattartójának megnevezése, címe, telefonszáma</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Ajánlattevő részvételi aránya és saját teljesítésének ellenértéke </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bookmarkStart w:id="5" w:name="_tyjcwt"/>
      <w:bookmarkStart w:id="6" w:name="_tyjcwt"/>
      <w:bookmarkEnd w:id="6"/>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144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spacing w:before="0" w:after="160"/>
        <w:contextualSpacing/>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számú iratminta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Ajánlattevői nyilatkozat</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w:t>
      </w:r>
      <w:r>
        <w:rPr>
          <w:rFonts w:eastAsia="Times New Roman" w:cs="Times New Roman" w:ascii="Times New Roman" w:hAnsi="Times New Roman"/>
          <w:color w:val="00000A"/>
          <w:sz w:val="24"/>
          <w:szCs w:val="24"/>
        </w:rPr>
        <w:t xml:space="preserve">Tatabányai Szakképzési Centrum Eötvös Loránd Szakgimnáziuma és Szakközépiskolája tagintézménye palástköszörű eszközbeszerzés </w:t>
      </w:r>
      <w:r>
        <w:rPr>
          <w:rFonts w:eastAsia="Times New Roman" w:cs="Times New Roman" w:ascii="Times New Roman" w:hAnsi="Times New Roman"/>
          <w:sz w:val="24"/>
          <w:szCs w:val="24"/>
        </w:rPr>
        <w:t>tárgyú pályázathoz</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/PÉNZÜGYI ALKALMASSÁG/</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Alulírott________________________ mint a(z _____________________________________ cégjegyzésre jogosult képviselője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 y i l a t k o z o m, hogy</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az ajánlattételi határidőt megelőző 3 üzleti évben - általános forgalmi adó nélkül számított – teljes árbevételünk az alábbi összeg volt*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1" w:lastRow="0" w:firstColumn="0" w:lastColumn="0" w:noHBand="0" w:val="0400"/>
      </w:tblPr>
      <w:tblGrid>
        <w:gridCol w:w="1580"/>
        <w:gridCol w:w="7481"/>
      </w:tblGrid>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Üzleti év</w:t>
            </w:r>
          </w:p>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Teljes általános forgalmi adó nélkül számított árbevétel</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/HUF/</w:t>
            </w:r>
          </w:p>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2014.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2015.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2016. év</w:t>
            </w:r>
          </w:p>
        </w:tc>
        <w:tc>
          <w:tcPr>
            <w:tcW w:w="74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Hely, Dátum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2160"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cégszerű aláírás  </w:t>
      </w:r>
    </w:p>
    <w:p>
      <w:pPr>
        <w:pStyle w:val="Normal"/>
        <w:rPr/>
      </w:pPr>
      <w:r>
        <w:rPr>
          <w:rFonts w:eastAsia="Times New Roman" w:cs="Times New Roman" w:ascii="Times New Roman" w:hAnsi="Times New Roman"/>
          <w:sz w:val="24"/>
          <w:szCs w:val="24"/>
        </w:rPr>
        <w:t xml:space="preserve">* Kérjük csatolni a Cég hatályos cégkivonatát, és az üzleti beszámolójának ide vonatkozó kivonatát. </w:t>
      </w:r>
      <w:r>
        <w:br w:type="page"/>
      </w:r>
    </w:p>
    <w:p>
      <w:pPr>
        <w:pStyle w:val="Normal"/>
        <w:ind w:left="2160" w:firstLine="720"/>
        <w:rPr/>
      </w:pPr>
      <w:r>
        <w:rPr>
          <w:rFonts w:eastAsia="Times New Roman" w:cs="Times New Roman" w:ascii="Times New Roman" w:hAnsi="Times New Roman"/>
          <w:b/>
          <w:sz w:val="24"/>
          <w:szCs w:val="24"/>
        </w:rPr>
        <w:t xml:space="preserve">III. Műszaki dokumentáció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Digitális kijelző</w:t>
        <w:tab/>
        <w:t>van</w:t>
      </w:r>
    </w:p>
    <w:p>
      <w:pPr>
        <w:pStyle w:val="Normal"/>
        <w:rPr/>
      </w:pPr>
      <w:r>
        <w:rPr>
          <w:rFonts w:eastAsia="Times New Roman" w:cs="Times New Roman" w:ascii="Times New Roman" w:hAnsi="Times New Roman"/>
          <w:sz w:val="24"/>
          <w:szCs w:val="24"/>
        </w:rPr>
        <w:t>Csúcsmagasság</w:t>
        <w:tab/>
        <w:t xml:space="preserve">min </w:t>
      </w:r>
      <w:r>
        <w:rPr>
          <w:rFonts w:eastAsia="Times New Roman" w:cs="Times New Roman" w:ascii="Times New Roman" w:hAnsi="Times New Roman"/>
          <w:sz w:val="24"/>
          <w:szCs w:val="24"/>
        </w:rPr>
        <w:t>150</w:t>
      </w:r>
      <w:r>
        <w:rPr>
          <w:rFonts w:eastAsia="Times New Roman" w:cs="Times New Roman" w:ascii="Times New Roman" w:hAnsi="Times New Roman"/>
          <w:sz w:val="24"/>
          <w:szCs w:val="24"/>
        </w:rPr>
        <w:t xml:space="preserve"> mm</w:t>
      </w:r>
    </w:p>
    <w:p>
      <w:pPr>
        <w:pStyle w:val="Normal"/>
        <w:rPr/>
      </w:pPr>
      <w:r>
        <w:rPr>
          <w:rFonts w:eastAsia="Times New Roman" w:cs="Times New Roman" w:ascii="Times New Roman" w:hAnsi="Times New Roman"/>
          <w:sz w:val="24"/>
          <w:szCs w:val="24"/>
        </w:rPr>
        <w:t>Max/Min. köszörülhető átmérő</w:t>
        <w:tab/>
        <w:t>min 1</w:t>
      </w:r>
      <w:r>
        <w:rPr>
          <w:rFonts w:eastAsia="Times New Roman" w:cs="Times New Roman" w:ascii="Times New Roman" w:hAnsi="Times New Roman"/>
          <w:sz w:val="24"/>
          <w:szCs w:val="24"/>
        </w:rPr>
        <w:t>50</w:t>
      </w:r>
      <w:r>
        <w:rPr>
          <w:rFonts w:eastAsia="Times New Roman" w:cs="Times New Roman" w:ascii="Times New Roman" w:hAnsi="Times New Roman"/>
          <w:sz w:val="24"/>
          <w:szCs w:val="24"/>
        </w:rPr>
        <w:t xml:space="preserve"> mm</w:t>
      </w:r>
    </w:p>
    <w:p>
      <w:pPr>
        <w:pStyle w:val="Normal"/>
        <w:rPr/>
      </w:pPr>
      <w:r>
        <w:rPr>
          <w:rFonts w:eastAsia="Times New Roman" w:cs="Times New Roman" w:ascii="Times New Roman" w:hAnsi="Times New Roman"/>
          <w:sz w:val="24"/>
          <w:szCs w:val="24"/>
        </w:rPr>
        <w:t>Max/Min. köszörülhető furat</w:t>
        <w:tab/>
        <w:t>min 50 mm</w:t>
      </w:r>
    </w:p>
    <w:p>
      <w:pPr>
        <w:pStyle w:val="Normal"/>
        <w:rPr/>
      </w:pPr>
      <w:r>
        <w:rPr>
          <w:rFonts w:eastAsia="Times New Roman" w:cs="Times New Roman" w:ascii="Times New Roman" w:hAnsi="Times New Roman"/>
          <w:sz w:val="24"/>
          <w:szCs w:val="24"/>
        </w:rPr>
        <w:t>Csúcstávolsága</w:t>
        <w:tab/>
        <w:t xml:space="preserve">min </w:t>
      </w:r>
      <w:r>
        <w:rPr>
          <w:rFonts w:eastAsia="Times New Roman" w:cs="Times New Roman" w:ascii="Times New Roman" w:hAnsi="Times New Roman"/>
          <w:sz w:val="24"/>
          <w:szCs w:val="24"/>
        </w:rPr>
        <w:t>600</w:t>
      </w:r>
      <w:r>
        <w:rPr>
          <w:rFonts w:eastAsia="Times New Roman" w:cs="Times New Roman" w:ascii="Times New Roman" w:hAnsi="Times New Roman"/>
          <w:sz w:val="24"/>
          <w:szCs w:val="24"/>
        </w:rPr>
        <w:t xml:space="preserve"> mm</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Munkadarab súly</w:t>
        <w:tab/>
        <w:t>min 10 kg</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Asztal elfordíthatósága</w:t>
        <w:tab/>
        <w:t>7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Főorsó elfordíthatósága jobbra/balra</w:t>
        <w:tab/>
        <w:t>30 °</w:t>
      </w:r>
    </w:p>
    <w:p>
      <w:pPr>
        <w:pStyle w:val="Normal"/>
        <w:rPr/>
      </w:pPr>
      <w:r>
        <w:rPr>
          <w:rFonts w:eastAsia="Times New Roman" w:cs="Times New Roman" w:ascii="Times New Roman" w:hAnsi="Times New Roman"/>
          <w:sz w:val="24"/>
          <w:szCs w:val="24"/>
        </w:rPr>
        <w:t>Főmotor teljesítmény</w:t>
        <w:tab/>
        <w:t>min 3,2</w:t>
      </w:r>
    </w:p>
    <w:p>
      <w:pPr>
        <w:pStyle w:val="Normal"/>
        <w:rPr/>
      </w:pPr>
      <w:r>
        <w:rPr>
          <w:rFonts w:eastAsia="Times New Roman" w:cs="Times New Roman" w:ascii="Times New Roman" w:hAnsi="Times New Roman"/>
          <w:sz w:val="24"/>
          <w:szCs w:val="24"/>
        </w:rPr>
        <w:t>Furatköszörű befogó: Morse 5</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Szerződés-tervezet</w:t>
      </w:r>
    </w:p>
    <w:p>
      <w:pPr>
        <w:pStyle w:val="Cm"/>
        <w:tabs>
          <w:tab w:val="left" w:pos="567" w:leader="none"/>
        </w:tabs>
        <w:jc w:val="center"/>
        <w:rPr>
          <w:rFonts w:ascii="Times New Roman" w:hAnsi="Times New Roman" w:cs="Times New Roman"/>
          <w:i/>
          <w:i/>
          <w:sz w:val="24"/>
          <w:szCs w:val="24"/>
        </w:rPr>
      </w:pPr>
      <w:r>
        <w:rPr>
          <w:rFonts w:cs="Times New Roman" w:ascii="Times New Roman" w:hAnsi="Times New Roman"/>
          <w:sz w:val="24"/>
          <w:szCs w:val="24"/>
        </w:rPr>
        <w:t>SZÁLLÍTÁSI SZERZŐDÉS</w:t>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b/>
          <w:b/>
          <w:i/>
          <w:i/>
          <w:color w:val="222222"/>
          <w:sz w:val="24"/>
          <w:szCs w:val="24"/>
        </w:rPr>
      </w:pPr>
      <w:r>
        <w:rPr>
          <w:rFonts w:cs="Times New Roman" w:ascii="Times New Roman" w:hAnsi="Times New Roman"/>
          <w:sz w:val="24"/>
          <w:szCs w:val="24"/>
        </w:rPr>
        <w:t>amely létrejött egyrészről a:</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b/>
          <w:color w:val="222222"/>
          <w:sz w:val="24"/>
          <w:szCs w:val="24"/>
        </w:rPr>
        <w:t>Tatabányai Szakképzési Centrum</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color w:val="222222"/>
          <w:sz w:val="24"/>
          <w:szCs w:val="24"/>
        </w:rPr>
        <w:t>székhelye: 2800 Tatabánya, Fő tér 4.</w:t>
      </w:r>
    </w:p>
    <w:p>
      <w:pPr>
        <w:pStyle w:val="Normal"/>
        <w:spacing w:lineRule="atLeast" w:line="240"/>
        <w:rPr>
          <w:rFonts w:ascii="Times New Roman" w:hAnsi="Times New Roman" w:cs="Times New Roman"/>
          <w:i/>
          <w:i/>
          <w:sz w:val="24"/>
          <w:szCs w:val="24"/>
          <w:lang w:val="da-DK"/>
        </w:rPr>
      </w:pPr>
      <w:r>
        <w:rPr>
          <w:rFonts w:cs="Times New Roman" w:ascii="Times New Roman" w:hAnsi="Times New Roman"/>
          <w:color w:val="222222"/>
          <w:sz w:val="24"/>
          <w:szCs w:val="24"/>
        </w:rPr>
        <w:t xml:space="preserve">képviseli: </w:t>
      </w:r>
      <w:r>
        <w:rPr>
          <w:rFonts w:cs="Times New Roman" w:ascii="Times New Roman" w:hAnsi="Times New Roman"/>
          <w:sz w:val="24"/>
          <w:szCs w:val="24"/>
        </w:rPr>
        <w:t>Berczellyné Nagy Marianna főigazgató</w:t>
      </w:r>
    </w:p>
    <w:p>
      <w:pPr>
        <w:pStyle w:val="Bekezds"/>
        <w:tabs>
          <w:tab w:val="right" w:pos="9029" w:leader="dot"/>
        </w:tabs>
        <w:ind w:hanging="0"/>
        <w:rPr>
          <w:rFonts w:ascii="Times New Roman" w:hAnsi="Times New Roman" w:cs="Times New Roman"/>
          <w:i w:val="false"/>
          <w:i w:val="false"/>
          <w:sz w:val="24"/>
          <w:szCs w:val="24"/>
          <w:lang w:val="da-DK"/>
        </w:rPr>
      </w:pPr>
      <w:r>
        <w:rPr>
          <w:rFonts w:cs="Times New Roman" w:ascii="Times New Roman" w:hAnsi="Times New Roman"/>
          <w:i w:val="false"/>
          <w:sz w:val="24"/>
          <w:szCs w:val="24"/>
          <w:lang w:val="da-DK"/>
        </w:rPr>
        <w:t>érintett</w:t>
      </w:r>
      <w:r>
        <w:rPr>
          <w:rFonts w:cs="Times New Roman" w:ascii="Times New Roman" w:hAnsi="Times New Roman"/>
          <w:i w:val="false"/>
          <w:color w:val="000000"/>
          <w:sz w:val="24"/>
          <w:szCs w:val="24"/>
        </w:rPr>
        <w:t xml:space="preserve"> köznevelési intézmény megnevezése: </w:t>
      </w:r>
      <w:r>
        <w:rPr>
          <w:rFonts w:cs="Times New Roman" w:ascii="Times New Roman" w:hAnsi="Times New Roman"/>
          <w:b/>
          <w:i w:val="false"/>
          <w:sz w:val="24"/>
          <w:szCs w:val="24"/>
        </w:rPr>
        <w:t>TSZC Eötvös Loránd Szakgimnáziuma és Szakközépiskolája</w:t>
      </w:r>
    </w:p>
    <w:p>
      <w:pPr>
        <w:pStyle w:val="Bekezds"/>
        <w:tabs>
          <w:tab w:val="right" w:pos="9029" w:leader="dot"/>
        </w:tabs>
        <w:spacing w:lineRule="atLeast" w:line="240"/>
        <w:ind w:hanging="0"/>
        <w:rPr>
          <w:rFonts w:ascii="Times New Roman" w:hAnsi="Times New Roman" w:cs="Times New Roman"/>
          <w:i w:val="false"/>
          <w:i w:val="false"/>
          <w:sz w:val="24"/>
          <w:szCs w:val="24"/>
          <w:lang w:val="da-DK"/>
        </w:rPr>
      </w:pPr>
      <w:r>
        <w:rPr>
          <w:rFonts w:cs="Times New Roman" w:ascii="Times New Roman" w:hAnsi="Times New Roman"/>
          <w:i w:val="false"/>
          <w:sz w:val="24"/>
          <w:szCs w:val="24"/>
          <w:lang w:val="da-DK"/>
        </w:rPr>
      </w:r>
    </w:p>
    <w:p>
      <w:pPr>
        <w:pStyle w:val="Bekezds"/>
        <w:tabs>
          <w:tab w:val="right" w:pos="9029" w:leader="dot"/>
        </w:tabs>
        <w:spacing w:lineRule="atLeast" w:line="240"/>
        <w:ind w:hanging="0"/>
        <w:rPr>
          <w:rFonts w:ascii="Times New Roman" w:hAnsi="Times New Roman" w:cs="Times New Roman"/>
          <w:i w:val="false"/>
          <w:i w:val="false"/>
          <w:color w:val="222222"/>
          <w:sz w:val="24"/>
          <w:szCs w:val="24"/>
        </w:rPr>
      </w:pPr>
      <w:r>
        <w:rPr>
          <w:rFonts w:cs="Times New Roman" w:ascii="Times New Roman" w:hAnsi="Times New Roman"/>
          <w:i w:val="false"/>
          <w:sz w:val="24"/>
          <w:szCs w:val="24"/>
          <w:lang w:val="da-DK"/>
        </w:rPr>
        <w:t xml:space="preserve">MÁK nyilvántartási szám: 203064 </w:t>
      </w:r>
    </w:p>
    <w:p>
      <w:pPr>
        <w:pStyle w:val="Normal"/>
        <w:spacing w:lineRule="atLeast" w:line="240"/>
        <w:rPr>
          <w:rFonts w:ascii="Times New Roman" w:hAnsi="Times New Roman" w:cs="Times New Roman"/>
          <w:i/>
          <w:i/>
          <w:color w:val="222222"/>
          <w:sz w:val="24"/>
          <w:szCs w:val="24"/>
        </w:rPr>
      </w:pPr>
      <w:r>
        <w:rPr>
          <w:rFonts w:cs="Times New Roman" w:ascii="Times New Roman" w:hAnsi="Times New Roman"/>
          <w:color w:val="222222"/>
          <w:sz w:val="24"/>
          <w:szCs w:val="24"/>
        </w:rPr>
        <w:t>adóigazgatási azonosító száma: 15832214-2-11</w:t>
      </w:r>
    </w:p>
    <w:p>
      <w:pPr>
        <w:pStyle w:val="Normal"/>
        <w:spacing w:lineRule="atLeast" w:line="240"/>
        <w:rPr>
          <w:rFonts w:ascii="Times New Roman" w:hAnsi="Times New Roman" w:cs="Times New Roman"/>
          <w:i/>
          <w:i/>
          <w:sz w:val="24"/>
          <w:szCs w:val="24"/>
        </w:rPr>
      </w:pPr>
      <w:r>
        <w:rPr>
          <w:rFonts w:cs="Times New Roman" w:ascii="Times New Roman" w:hAnsi="Times New Roman"/>
          <w:color w:val="222222"/>
          <w:sz w:val="24"/>
          <w:szCs w:val="24"/>
        </w:rPr>
        <w:t xml:space="preserve">előirányzat-felhasználási keretszámla száma: </w:t>
      </w:r>
      <w:r>
        <w:rPr>
          <w:rFonts w:cs="Times New Roman" w:ascii="Times New Roman" w:hAnsi="Times New Roman"/>
          <w:sz w:val="24"/>
          <w:szCs w:val="24"/>
        </w:rPr>
        <w:t xml:space="preserve">10036004-00335539-00000000, </w:t>
      </w:r>
    </w:p>
    <w:p>
      <w:pPr>
        <w:pStyle w:val="Normal"/>
        <w:spacing w:lineRule="atLeast" w:line="240"/>
        <w:rPr>
          <w:rFonts w:ascii="Times New Roman" w:hAnsi="Times New Roman" w:cs="Times New Roman"/>
          <w:sz w:val="24"/>
          <w:szCs w:val="24"/>
        </w:rPr>
      </w:pPr>
      <w:r>
        <w:rPr>
          <w:rFonts w:cs="Times New Roman" w:ascii="Times New Roman" w:hAnsi="Times New Roman"/>
          <w:sz w:val="24"/>
          <w:szCs w:val="24"/>
        </w:rPr>
        <w:t xml:space="preserve">mint Megrendelő (továbbiakban: </w:t>
      </w:r>
      <w:r>
        <w:rPr>
          <w:rFonts w:cs="Times New Roman" w:ascii="Times New Roman" w:hAnsi="Times New Roman"/>
          <w:b/>
          <w:sz w:val="24"/>
          <w:szCs w:val="24"/>
        </w:rPr>
        <w:t>Megrendelő</w:t>
      </w:r>
      <w:r>
        <w:rPr>
          <w:rFonts w:cs="Times New Roman" w:ascii="Times New Roman" w:hAnsi="Times New Roman"/>
          <w:sz w:val="24"/>
          <w:szCs w:val="24"/>
        </w:rPr>
        <w:t xml:space="preserve">) </w:t>
      </w:r>
    </w:p>
    <w:p>
      <w:pPr>
        <w:pStyle w:val="Normal"/>
        <w:tabs>
          <w:tab w:val="left" w:pos="567" w:leader="none"/>
        </w:tabs>
        <w:rPr>
          <w:rFonts w:ascii="Times New Roman" w:hAnsi="Times New Roman" w:cs="Times New Roman"/>
          <w:iCs/>
          <w:sz w:val="24"/>
          <w:szCs w:val="24"/>
        </w:rPr>
      </w:pPr>
      <w:r>
        <w:rPr>
          <w:rFonts w:cs="Times New Roman" w:ascii="Times New Roman" w:hAnsi="Times New Roman"/>
          <w:sz w:val="24"/>
          <w:szCs w:val="24"/>
        </w:rPr>
        <w:t>másrészről a:</w:t>
      </w:r>
    </w:p>
    <w:p>
      <w:pPr>
        <w:pStyle w:val="Lfej"/>
        <w:shd w:val="clear" w:color="auto" w:fill="FFFFFF"/>
        <w:rPr>
          <w:i w:val="false"/>
          <w:i w:val="false"/>
          <w:szCs w:val="24"/>
        </w:rPr>
      </w:pPr>
      <w:r>
        <w:rPr>
          <w:i w:val="false"/>
          <w:iCs/>
          <w:szCs w:val="24"/>
        </w:rPr>
        <w:t>cégnév:</w:t>
      </w:r>
      <w:r>
        <w:rPr>
          <w:b/>
          <w:bCs/>
          <w:i w:val="false"/>
          <w:szCs w:val="24"/>
        </w:rPr>
        <w:t xml:space="preserve"> </w:t>
      </w:r>
    </w:p>
    <w:p>
      <w:pPr>
        <w:pStyle w:val="Normal"/>
        <w:shd w:val="clear" w:color="auto" w:fill="FFFFFF"/>
        <w:rPr>
          <w:rFonts w:ascii="Times New Roman" w:hAnsi="Times New Roman" w:cs="Times New Roman"/>
          <w:i/>
          <w:i/>
          <w:sz w:val="24"/>
          <w:szCs w:val="24"/>
        </w:rPr>
      </w:pPr>
      <w:r>
        <w:rPr>
          <w:rFonts w:cs="Times New Roman" w:ascii="Times New Roman" w:hAnsi="Times New Roman"/>
          <w:sz w:val="24"/>
          <w:szCs w:val="24"/>
        </w:rPr>
        <w:t xml:space="preserve">székhelye: </w:t>
      </w:r>
    </w:p>
    <w:p>
      <w:pPr>
        <w:pStyle w:val="Normal"/>
        <w:spacing w:lineRule="atLeast" w:line="240"/>
        <w:rPr>
          <w:rFonts w:ascii="Times New Roman" w:hAnsi="Times New Roman" w:cs="Times New Roman"/>
          <w:i/>
          <w:i/>
          <w:iCs/>
          <w:sz w:val="24"/>
          <w:szCs w:val="24"/>
        </w:rPr>
      </w:pPr>
      <w:r>
        <w:rPr>
          <w:rFonts w:cs="Times New Roman" w:ascii="Times New Roman" w:hAnsi="Times New Roman"/>
          <w:sz w:val="24"/>
          <w:szCs w:val="24"/>
        </w:rPr>
        <w:t xml:space="preserve">képviseli: </w:t>
      </w:r>
    </w:p>
    <w:p>
      <w:pPr>
        <w:pStyle w:val="Normal"/>
        <w:tabs>
          <w:tab w:val="left" w:pos="567" w:leader="none"/>
        </w:tabs>
        <w:rPr>
          <w:rFonts w:ascii="Times New Roman" w:hAnsi="Times New Roman" w:cs="Times New Roman"/>
          <w:i/>
          <w:i/>
          <w:sz w:val="24"/>
          <w:szCs w:val="24"/>
        </w:rPr>
      </w:pPr>
      <w:r>
        <w:rPr>
          <w:rFonts w:cs="Times New Roman" w:ascii="Times New Roman" w:hAnsi="Times New Roman"/>
          <w:iCs/>
          <w:sz w:val="24"/>
          <w:szCs w:val="24"/>
        </w:rPr>
        <w:t>cégjegyzékszáma:</w:t>
      </w:r>
      <w:r>
        <w:rPr>
          <w:rFonts w:cs="Times New Roman" w:ascii="Times New Roman" w:hAnsi="Times New Roman"/>
          <w:b/>
          <w:sz w:val="24"/>
          <w:szCs w:val="24"/>
        </w:rPr>
        <w:t xml:space="preserve"> </w:t>
      </w:r>
    </w:p>
    <w:p>
      <w:pPr>
        <w:pStyle w:val="Normal"/>
        <w:spacing w:lineRule="atLeast" w:line="240"/>
        <w:rPr>
          <w:rFonts w:ascii="Times New Roman" w:hAnsi="Times New Roman" w:cs="Times New Roman"/>
          <w:i/>
          <w:i/>
          <w:iCs/>
          <w:sz w:val="24"/>
          <w:szCs w:val="24"/>
        </w:rPr>
      </w:pPr>
      <w:r>
        <w:rPr>
          <w:rFonts w:cs="Times New Roman" w:ascii="Times New Roman" w:hAnsi="Times New Roman"/>
          <w:sz w:val="24"/>
          <w:szCs w:val="24"/>
        </w:rPr>
        <w:t xml:space="preserve">adóigazgatási azonosító száma: </w:t>
      </w:r>
    </w:p>
    <w:p>
      <w:pPr>
        <w:pStyle w:val="Normal"/>
        <w:tabs>
          <w:tab w:val="left" w:pos="567" w:leader="none"/>
        </w:tabs>
        <w:rPr>
          <w:rFonts w:ascii="Times New Roman" w:hAnsi="Times New Roman" w:cs="Times New Roman"/>
          <w:i/>
          <w:i/>
          <w:sz w:val="24"/>
          <w:szCs w:val="24"/>
        </w:rPr>
      </w:pPr>
      <w:r>
        <w:rPr>
          <w:rFonts w:cs="Times New Roman" w:ascii="Times New Roman" w:hAnsi="Times New Roman"/>
          <w:iCs/>
          <w:sz w:val="24"/>
          <w:szCs w:val="24"/>
        </w:rPr>
        <w:t>pénzforgalmi jelzőszáma:</w:t>
      </w:r>
      <w:r>
        <w:rPr>
          <w:rFonts w:cs="Times New Roman" w:ascii="Times New Roman" w:hAnsi="Times New Roman"/>
          <w:sz w:val="24"/>
          <w:szCs w:val="24"/>
        </w:rPr>
        <w:t xml:space="preserve"> </w:t>
      </w:r>
    </w:p>
    <w:p>
      <w:pPr>
        <w:pStyle w:val="Normal"/>
        <w:tabs>
          <w:tab w:val="left" w:pos="567" w:leader="none"/>
        </w:tabs>
        <w:rPr>
          <w:rFonts w:ascii="Times New Roman" w:hAnsi="Times New Roman" w:cs="Times New Roman"/>
          <w:i/>
          <w:i/>
          <w:sz w:val="24"/>
          <w:szCs w:val="24"/>
        </w:rPr>
      </w:pPr>
      <w:r>
        <w:rPr>
          <w:rFonts w:cs="Times New Roman" w:ascii="Times New Roman" w:hAnsi="Times New Roman"/>
          <w:sz w:val="24"/>
          <w:szCs w:val="24"/>
        </w:rPr>
        <w:t xml:space="preserve">mint Szállító (továbbiakban: </w:t>
      </w:r>
      <w:r>
        <w:rPr>
          <w:rFonts w:cs="Times New Roman" w:ascii="Times New Roman" w:hAnsi="Times New Roman"/>
          <w:b/>
          <w:sz w:val="24"/>
          <w:szCs w:val="24"/>
        </w:rPr>
        <w:t>Szállító</w:t>
      </w:r>
      <w:r>
        <w:rPr>
          <w:rFonts w:cs="Times New Roman" w:ascii="Times New Roman" w:hAnsi="Times New Roman"/>
          <w:sz w:val="24"/>
          <w:szCs w:val="24"/>
        </w:rPr>
        <w:t>) között az alulírott napon és helyen, az alábbiak szerint:</w:t>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w:t>
        <w:tab/>
        <w:t xml:space="preserve">Szerződő felek egymással szállítási szerződést kötnek, melynek tárgya a Szállító által forgalmazott alábbi </w:t>
      </w:r>
      <w:r>
        <w:rPr>
          <w:rFonts w:cs="Times New Roman" w:ascii="Times New Roman" w:hAnsi="Times New Roman"/>
          <w:b/>
          <w:sz w:val="24"/>
          <w:szCs w:val="24"/>
        </w:rPr>
        <w:t>palástköszörű</w:t>
      </w:r>
      <w:r>
        <w:rPr>
          <w:rFonts w:cs="Times New Roman" w:ascii="Times New Roman" w:hAnsi="Times New Roman"/>
          <w:sz w:val="24"/>
          <w:szCs w:val="24"/>
        </w:rPr>
        <w:t xml:space="preserve"> (termék) szállítása Megrendelő részére. </w:t>
      </w:r>
    </w:p>
    <w:tbl>
      <w:tblPr>
        <w:tblStyle w:val="Rcsostblzat"/>
        <w:tblW w:w="10068" w:type="dxa"/>
        <w:jc w:val="center"/>
        <w:tblInd w:w="0" w:type="dxa"/>
        <w:tblCellMar>
          <w:top w:w="0" w:type="dxa"/>
          <w:left w:w="103" w:type="dxa"/>
          <w:bottom w:w="0" w:type="dxa"/>
          <w:right w:w="108" w:type="dxa"/>
        </w:tblCellMar>
        <w:tblLook w:firstRow="1" w:noVBand="1" w:lastRow="0" w:firstColumn="1" w:lastColumn="0" w:noHBand="0" w:val="04a0"/>
      </w:tblPr>
      <w:tblGrid>
        <w:gridCol w:w="1276"/>
        <w:gridCol w:w="2063"/>
        <w:gridCol w:w="1450"/>
        <w:gridCol w:w="1349"/>
        <w:gridCol w:w="1135"/>
        <w:gridCol w:w="763"/>
        <w:gridCol w:w="1134"/>
        <w:gridCol w:w="896"/>
      </w:tblGrid>
      <w:tr>
        <w:trPr/>
        <w:tc>
          <w:tcPr>
            <w:tcW w:w="127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Sor-szám</w:t>
            </w:r>
          </w:p>
        </w:tc>
        <w:tc>
          <w:tcPr>
            <w:tcW w:w="20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Eszköz megnevezése</w:t>
            </w:r>
          </w:p>
        </w:tc>
        <w:tc>
          <w:tcPr>
            <w:tcW w:w="1450"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Mennyiségi egység</w:t>
            </w:r>
          </w:p>
        </w:tc>
        <w:tc>
          <w:tcPr>
            <w:tcW w:w="1349"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Mennyiség</w:t>
            </w:r>
          </w:p>
        </w:tc>
        <w:tc>
          <w:tcPr>
            <w:tcW w:w="1135"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Nettó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egységár</w:t>
            </w:r>
          </w:p>
        </w:tc>
        <w:tc>
          <w:tcPr>
            <w:tcW w:w="7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ÁFA</w:t>
            </w:r>
          </w:p>
        </w:tc>
        <w:tc>
          <w:tcPr>
            <w:tcW w:w="1134"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Bruttó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egységár</w:t>
            </w:r>
          </w:p>
        </w:tc>
        <w:tc>
          <w:tcPr>
            <w:tcW w:w="89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Bruttó</w:t>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összes</w:t>
            </w:r>
          </w:p>
        </w:tc>
      </w:tr>
      <w:tr>
        <w:trPr/>
        <w:tc>
          <w:tcPr>
            <w:tcW w:w="1276" w:type="dxa"/>
            <w:tcBorders/>
            <w:shd w:color="auto" w:fill="auto" w:val="clear"/>
            <w:tcMar>
              <w:left w:w="103" w:type="dxa"/>
            </w:tcMar>
          </w:tcPr>
          <w:p>
            <w:pPr>
              <w:pStyle w:val="Normal"/>
              <w:tabs>
                <w:tab w:val="left" w:pos="567" w:leader="none"/>
              </w:tabs>
              <w:spacing w:lineRule="auto" w:line="240" w:before="0" w:after="0"/>
              <w:ind w:left="567" w:hanging="501"/>
              <w:rPr>
                <w:color w:val="00000A"/>
                <w:sz w:val="20"/>
                <w:szCs w:val="20"/>
              </w:rPr>
            </w:pPr>
            <w:r>
              <w:rPr>
                <w:color w:val="00000A"/>
                <w:sz w:val="20"/>
                <w:szCs w:val="20"/>
              </w:rPr>
            </w:r>
          </w:p>
        </w:tc>
        <w:tc>
          <w:tcPr>
            <w:tcW w:w="20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450"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tabs>
                <w:tab w:val="left" w:pos="567" w:leader="none"/>
              </w:tabs>
              <w:spacing w:lineRule="auto" w:line="240" w:before="0" w:after="0"/>
              <w:ind w:left="567" w:hanging="501"/>
              <w:rPr>
                <w:sz w:val="24"/>
                <w:szCs w:val="24"/>
              </w:rPr>
            </w:pPr>
            <w:r>
              <w:rPr>
                <w:rFonts w:eastAsia="Times New Roman" w:cs="Times New Roman" w:ascii="Times New Roman" w:hAnsi="Times New Roman"/>
                <w:color w:val="00000A"/>
                <w:sz w:val="24"/>
                <w:szCs w:val="24"/>
              </w:rPr>
              <w:t>db</w:t>
            </w:r>
          </w:p>
        </w:tc>
        <w:tc>
          <w:tcPr>
            <w:tcW w:w="1349"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35"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763"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1134"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c>
          <w:tcPr>
            <w:tcW w:w="896" w:type="dxa"/>
            <w:tcBorders/>
            <w:shd w:color="auto" w:fill="auto" w:val="clear"/>
            <w:tcMar>
              <w:left w:w="103" w:type="dxa"/>
            </w:tcMar>
          </w:tcPr>
          <w:p>
            <w:pPr>
              <w:pStyle w:val="Normal"/>
              <w:tabs>
                <w:tab w:val="left" w:pos="567" w:leader="none"/>
              </w:tabs>
              <w:spacing w:lineRule="auto" w:line="240" w:before="0" w:after="0"/>
              <w:ind w:left="567" w:hanging="501"/>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c>
      </w:tr>
    </w:tbl>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2./</w:t>
        <w:tab/>
        <w:t>A termék minőségi jellemzői, a Szállító terméklistáján szereplő, az e terméktípust jellemző tulajdonságokkal megegyeznek. A Szállító kötelezettséget vállal arra, hogy olyan terméket bocsájt a Megrendelő rendelkezésére, amely a vonatkozó hazai és EU jogszabályok előírásainak és a környezetvédelmi előírásoknak. Ettől való eltérés a törvényes kereteken belül a szerződő felek közös megegyezésével történik.</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3./</w:t>
        <w:tab/>
        <w:t>A 1./ pontban megjelölt termékek szállítása, a felek megállapodása szerint, Megrendelő írásbeli (e-mail, fax) megrendelése alapján történik. Felek rögzítik, hogy a teljesítési (szállítási) határidő a megrendeléstől 15 munkanap. A Felek rögzítik, hogy a Szállító által vállalt garancia, a nyertes pályázat alapján az üzembe helyezéstől számított ……..  nap.</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4./</w:t>
        <w:tab/>
        <w:t>Szállító biztosítja Megrendelő számára megrendelés módosítását, a megrendelés teljesítését megelőző munkanapon 10 óráig. Amennyiben Megrendelő rendelését a Szállítást megelőző napon adja le és ebből kifolyólag a Szállító nem, vagy nem a szerződés szerinti feltételek alapján teljesít, ebből kifolyólag Megrendelő nem jogosult hibás teljesítés miatt igényt érvényesíteni, illetve a szerződést szerződésszegésre való hivatkozással felmondani.</w:t>
      </w:r>
    </w:p>
    <w:p>
      <w:pPr>
        <w:pStyle w:val="Normal"/>
        <w:tabs>
          <w:tab w:val="left" w:pos="567" w:leader="none"/>
        </w:tabs>
        <w:ind w:left="567" w:hanging="501"/>
        <w:jc w:val="both"/>
        <w:rPr>
          <w:rFonts w:ascii="Times New Roman" w:hAnsi="Times New Roman" w:cs="Times New Roman"/>
          <w:sz w:val="24"/>
          <w:szCs w:val="24"/>
        </w:rPr>
      </w:pPr>
      <w:r>
        <w:rPr>
          <w:rFonts w:cs="Times New Roman" w:ascii="Times New Roman" w:hAnsi="Times New Roman"/>
          <w:sz w:val="24"/>
          <w:szCs w:val="24"/>
        </w:rPr>
        <w:t>5./</w:t>
        <w:tab/>
        <w:t>Felek rögzítik, hogy a termék átadás a Megrendelő székhelyén/telephelyén történik:</w:t>
      </w:r>
    </w:p>
    <w:p>
      <w:pPr>
        <w:pStyle w:val="Normal"/>
        <w:tabs>
          <w:tab w:val="left" w:pos="567" w:leader="none"/>
        </w:tabs>
        <w:ind w:left="567" w:hanging="501"/>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567" w:leader="none"/>
        </w:tabs>
        <w:ind w:left="567" w:hanging="501"/>
        <w:jc w:val="center"/>
        <w:rPr>
          <w:rFonts w:ascii="Times New Roman" w:hAnsi="Times New Roman" w:cs="Times New Roman"/>
          <w:b/>
          <w:b/>
          <w:sz w:val="24"/>
          <w:szCs w:val="24"/>
        </w:rPr>
      </w:pPr>
      <w:r>
        <w:rPr>
          <w:rFonts w:cs="Times New Roman" w:ascii="Times New Roman" w:hAnsi="Times New Roman"/>
          <w:b/>
          <w:sz w:val="24"/>
          <w:szCs w:val="24"/>
        </w:rPr>
        <w:t>Tagintézmény neve: TSZC Eötvös Loránd Szakgimnáziuma és Szakközépiskolája</w:t>
      </w:r>
    </w:p>
    <w:p>
      <w:pPr>
        <w:pStyle w:val="Normal"/>
        <w:tabs>
          <w:tab w:val="left" w:pos="567" w:leader="none"/>
        </w:tabs>
        <w:ind w:left="567" w:hanging="501"/>
        <w:jc w:val="center"/>
        <w:rPr>
          <w:rFonts w:ascii="Times New Roman" w:hAnsi="Times New Roman" w:cs="Times New Roman"/>
          <w:b/>
          <w:b/>
          <w:sz w:val="24"/>
          <w:szCs w:val="24"/>
        </w:rPr>
      </w:pPr>
      <w:r>
        <w:rPr>
          <w:rFonts w:cs="Times New Roman" w:ascii="Times New Roman" w:hAnsi="Times New Roman"/>
          <w:b/>
          <w:sz w:val="24"/>
          <w:szCs w:val="24"/>
        </w:rPr>
        <w:t>Tagintézmény pontos címe: 2840 Oroszlány, Asztalos u. 2.</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 xml:space="preserve"> A megrendelés a termék átadás-átvételével minősül teljesítettnek, melyet mindkét fél megbízottja a Szállító által kibocsájtott számla aláírásával igazol. Amennyiben a Megrendelő a megrendelés szerint leszállított terméket nem veszi át, a Szállító a Megrendelő kockázatára és költségére gondoskodik annak visszaszállításáról és tárolásáról, mely során keletkezett díj külön felszámításra kerül. A Megrendelő felelős a telephelyen való kirakodásért, a kirakodáshoz szükséges megfelelő körülmények biztosításáért, valamint a Szállítónak kell biztosítani a megfelelő szállítási eszközt olyan állapotban, hogy lehetővé tegye a Megrendelő kirakodási kötelezettségeinek teljesítését.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6./</w:t>
        <w:tab/>
        <w:t>A Szállító a megrendelés tárgyát képező terméket a termék védelmére alkalmas csomagolásban bocsátja a Megrendelő rendelkezésére. A termékek minőségének megóvása érdekében a termékek kezelése, tárolása, állag megőrzése és kiszállítása meg kell, hogy feleljen a hatályos előírásokat.</w:t>
      </w:r>
    </w:p>
    <w:p>
      <w:pPr>
        <w:pStyle w:val="Normal"/>
        <w:ind w:left="567" w:hanging="567"/>
        <w:jc w:val="both"/>
        <w:rPr>
          <w:rFonts w:ascii="Times New Roman" w:hAnsi="Times New Roman" w:cs="Times New Roman"/>
          <w:i/>
          <w:i/>
          <w:sz w:val="24"/>
          <w:szCs w:val="24"/>
        </w:rPr>
      </w:pPr>
      <w:r>
        <w:rPr>
          <w:rFonts w:cs="Times New Roman" w:ascii="Times New Roman" w:hAnsi="Times New Roman"/>
          <w:sz w:val="24"/>
          <w:szCs w:val="24"/>
        </w:rPr>
        <w:t>7./</w:t>
        <w:tab/>
        <w:t>A Felek rögzítik, hogy Szállító a megrendelt termékek  maradéktalan és határidőben való teljesítésének esetére ………………….… ,- Ft + ÁFA összegű  díjra jogosult.</w:t>
      </w:r>
      <w:r>
        <w:rPr>
          <w:rFonts w:cs="Times New Roman" w:ascii="Times New Roman" w:hAnsi="Times New Roman"/>
          <w:i/>
          <w:sz w:val="24"/>
          <w:szCs w:val="24"/>
        </w:rPr>
        <w:t xml:space="preserve"> </w:t>
      </w:r>
      <w:r>
        <w:rPr>
          <w:rFonts w:cs="Times New Roman" w:ascii="Times New Roman" w:hAnsi="Times New Roman"/>
          <w:sz w:val="24"/>
          <w:szCs w:val="24"/>
        </w:rPr>
        <w:t>Szállító az árajánlatában feltüntetett díjon kívül semmilyen jogalapon nem jogosult további igényeket támasztani a Megrendelővel szemben.</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8./</w:t>
        <w:tab/>
        <w:t>Szállító a szállításról/teljesítésről számlát állít ki, melyet Megrendelő a kiállítástól számított harminc napon belül köteles teljesíteni átutalás útján Szállító ……………………………………………………számú bankszámlájára. Amennyiben a Megrendelő az átutalással késedelembe esik, úgy a teljesítés ellenértéke a késedelembe esés napjától a mindenkori jegybanki alapkamatnak megfelelő mértékű késedelmi kamattal növekszik.</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9./</w:t>
        <w:tab/>
        <w:t>Amennyiben a termékek átvétele során a termék mennyiségében, minőségében eltérés mutatkozik, arról a Megrendelő jegyzőkönyvet készít, melyet a Szállító és a Megrendelő képviselője aláírásával és pecsétjével hitelesít. A jegyzőkönyvet Megrendelő köteles a Szállítóhoz eljuttatni. Az átvett termék vonatkozásában a Megrendelőnek az átvételtől számított 48 órán belül van joga írásban érvényesíteni kifogásait a termék szavatosságával kapcsolatban. Az átvételkor fel nem ismerhető mennyiségi és minőségi hibákat Megrendelő a tényeket bizonyító okmányokkal együtt a hiba felfedezésekor azonnal a szállítónál írásban köteles bejelenteni.</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10./</w:t>
        <w:tab/>
        <w:t>A felek bármelyike jogosult a jelen szerződést írásban a másik félhez címezett, 30 napos felmondási idővel felmondani, Megrendelő azonban köteles a felmondás előtt már leadott megrendelés alapján leszállított terméket átvenni és vételárat megfizetni.</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i/>
          <w:sz w:val="24"/>
          <w:szCs w:val="24"/>
        </w:rPr>
        <w:tab/>
      </w:r>
      <w:r>
        <w:rPr>
          <w:rFonts w:cs="Times New Roman" w:ascii="Times New Roman" w:hAnsi="Times New Roman"/>
          <w:sz w:val="24"/>
          <w:szCs w:val="24"/>
        </w:rPr>
        <w:t>A felek bármelyike jogosult a jelen szerződést azonnali hatállyal felmondani a másik fél súlyosan szerződésszegő magatartása esetén, így különösen:</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Megrendelő fizetési kötelezettségének a Szállító írásbeli felszólítása ellenére 8 nap alatt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Megrendelő az termék átvételét indok nélkül megtagadja,</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Szállító a Megrendelő által jogszerűen kifogásolt mennyiségi vagy minőségi hibás termékkel kapcsolatos kicserélési, illetve szállítási kötelezettségének a Megrendelő faxon vagy e-mailben közölt írásbeli felszólítása ellenére azonnal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w:t>
        <w:tab/>
        <w:t>ha a Szállító a szállítással késedelembe esik és a Megrendelő faxon vagy e-mailben közölt írásbeli felszólítása ellenére szállítási kötelezettségének azonnal nem tesz eleget.</w:t>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ab/>
        <w:t>Felek rögzítik, hogy vis major esetén egyik fél sem vonható felelősségre, így a felek ilyen esetben eltekintenek az egymással szembeni kárigénytől.</w:t>
      </w:r>
    </w:p>
    <w:p>
      <w:pPr>
        <w:pStyle w:val="Normal"/>
        <w:tabs>
          <w:tab w:val="left" w:pos="567" w:leader="none"/>
        </w:tabs>
        <w:ind w:left="567" w:hanging="501"/>
        <w:jc w:val="both"/>
        <w:rPr>
          <w:rFonts w:ascii="Times New Roman" w:hAnsi="Times New Roman" w:cs="Times New Roman"/>
          <w:sz w:val="24"/>
          <w:szCs w:val="24"/>
        </w:rPr>
      </w:pPr>
      <w:r>
        <w:rPr>
          <w:rFonts w:cs="Times New Roman" w:ascii="Times New Roman" w:hAnsi="Times New Roman"/>
          <w:sz w:val="24"/>
          <w:szCs w:val="24"/>
        </w:rPr>
        <w:t>11./</w:t>
        <w:tab/>
        <w:t xml:space="preserve">Jelen szerződést felek írásban, közös megegyezéssel módosíthatják. A Megrendelő nem ruházhatja át a szerződést más Megrendelőnek, míg erről a Szállító írásbeli beleegyezését nem adja. </w:t>
      </w:r>
    </w:p>
    <w:p>
      <w:pPr>
        <w:pStyle w:val="Normal"/>
        <w:tabs>
          <w:tab w:val="left" w:pos="567" w:leader="none"/>
        </w:tabs>
        <w:ind w:left="567" w:hanging="50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ind w:left="567" w:hanging="50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ind w:left="567" w:hanging="501"/>
        <w:jc w:val="both"/>
        <w:rPr>
          <w:rFonts w:ascii="Times New Roman" w:hAnsi="Times New Roman" w:cs="Times New Roman"/>
          <w:i/>
          <w:i/>
          <w:sz w:val="24"/>
          <w:szCs w:val="24"/>
        </w:rPr>
      </w:pPr>
      <w:r>
        <w:rPr>
          <w:rFonts w:cs="Times New Roman" w:ascii="Times New Roman" w:hAnsi="Times New Roman"/>
          <w:sz w:val="24"/>
          <w:szCs w:val="24"/>
        </w:rPr>
        <w:t>12./</w:t>
        <w:tab/>
        <w:t>Ezen szerződésben nem szabályozott kérdésekben a Ptk. rendelkezései az irányadók.</w:t>
      </w:r>
    </w:p>
    <w:p>
      <w:pPr>
        <w:pStyle w:val="Normal"/>
        <w:tabs>
          <w:tab w:val="left" w:pos="567" w:leader="none"/>
        </w:tabs>
        <w:ind w:left="567" w:hanging="501"/>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jc w:val="both"/>
        <w:rPr>
          <w:rFonts w:ascii="Times New Roman" w:hAnsi="Times New Roman" w:cs="Times New Roman"/>
          <w:i/>
          <w:i/>
          <w:sz w:val="24"/>
          <w:szCs w:val="24"/>
        </w:rPr>
      </w:pPr>
      <w:r>
        <w:rPr>
          <w:rFonts w:cs="Times New Roman" w:ascii="Times New Roman" w:hAnsi="Times New Roman"/>
          <w:sz w:val="24"/>
          <w:szCs w:val="24"/>
        </w:rPr>
        <w:t>Felek a fenti szerződést elolvasták, megértették, és mint az akaratukkal mindenben megegyezőt jóváhagyólag a mai napon írták alá.</w:t>
      </w:r>
    </w:p>
    <w:p>
      <w:pPr>
        <w:pStyle w:val="Normal"/>
        <w:tabs>
          <w:tab w:val="left" w:pos="567" w:leader="none"/>
        </w:tabs>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rPr>
          <w:rFonts w:ascii="Times New Roman" w:hAnsi="Times New Roman" w:cs="Times New Roman"/>
          <w:i/>
          <w:i/>
          <w:sz w:val="24"/>
          <w:szCs w:val="24"/>
        </w:rPr>
      </w:pPr>
      <w:r>
        <w:rPr>
          <w:rFonts w:cs="Times New Roman" w:ascii="Times New Roman" w:hAnsi="Times New Roman"/>
          <w:sz w:val="24"/>
          <w:szCs w:val="24"/>
        </w:rPr>
        <w:t>Tatabánya, 2017.               hó        napján</w:t>
        <w:tab/>
        <w:tab/>
        <w:t>Tatabánya, 2017.               hó        napján</w:t>
        <w:tab/>
        <w:tab/>
      </w:r>
    </w:p>
    <w:p>
      <w:pPr>
        <w:pStyle w:val="Normal"/>
        <w:tabs>
          <w:tab w:val="left" w:pos="567" w:leader="none"/>
        </w:tabs>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567" w:leader="none"/>
        </w:tabs>
        <w:jc w:val="center"/>
        <w:rPr>
          <w:rFonts w:ascii="Times New Roman" w:hAnsi="Times New Roman" w:cs="Times New Roman"/>
          <w:i/>
          <w:i/>
          <w:sz w:val="24"/>
          <w:szCs w:val="24"/>
        </w:rPr>
      </w:pPr>
      <w:r>
        <w:rPr>
          <w:rFonts w:cs="Times New Roman" w:ascii="Times New Roman" w:hAnsi="Times New Roman"/>
          <w:i/>
          <w:sz w:val="24"/>
          <w:szCs w:val="24"/>
        </w:rPr>
      </w:r>
    </w:p>
    <w:tbl>
      <w:tblPr>
        <w:tblW w:w="9211" w:type="dxa"/>
        <w:jc w:val="left"/>
        <w:tblInd w:w="0" w:type="dxa"/>
        <w:tblBorders/>
        <w:tblCellMar>
          <w:top w:w="0" w:type="dxa"/>
          <w:left w:w="108" w:type="dxa"/>
          <w:bottom w:w="0" w:type="dxa"/>
          <w:right w:w="108" w:type="dxa"/>
        </w:tblCellMar>
        <w:tblLook w:firstRow="0" w:noVBand="0" w:lastRow="0" w:firstColumn="0" w:lastColumn="0" w:noHBand="0" w:val="0000"/>
      </w:tblPr>
      <w:tblGrid>
        <w:gridCol w:w="4605"/>
        <w:gridCol w:w="4605"/>
      </w:tblGrid>
      <w:tr>
        <w:trPr/>
        <w:tc>
          <w:tcPr>
            <w:tcW w:w="4605" w:type="dxa"/>
            <w:tcBorders/>
            <w:shd w:color="auto" w:fill="auto" w:val="clear"/>
          </w:tcPr>
          <w:p>
            <w:pPr>
              <w:pStyle w:val="Normal"/>
              <w:tabs>
                <w:tab w:val="left" w:pos="567" w:leader="none"/>
              </w:tabs>
              <w:snapToGrid w:val="false"/>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Berczellyné Nagy Marianna főigazgató</w:t>
            </w:r>
          </w:p>
          <w:p>
            <w:pPr>
              <w:pStyle w:val="Normal"/>
              <w:tabs>
                <w:tab w:val="left" w:pos="567" w:leader="none"/>
              </w:tabs>
              <w:snapToGrid w:val="false"/>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Tatabányai Szakképzési Centrum</w:t>
            </w:r>
          </w:p>
          <w:p>
            <w:pPr>
              <w:pStyle w:val="Normal"/>
              <w:tabs>
                <w:tab w:val="left" w:pos="567" w:leader="none"/>
              </w:tabs>
              <w:spacing w:before="0" w:after="160"/>
              <w:jc w:val="center"/>
              <w:rPr>
                <w:rFonts w:ascii="Times New Roman" w:hAnsi="Times New Roman" w:cs="Times New Roman"/>
                <w:i/>
                <w:i/>
                <w:sz w:val="24"/>
                <w:szCs w:val="24"/>
              </w:rPr>
            </w:pPr>
            <w:r>
              <w:rPr>
                <w:rFonts w:cs="Times New Roman" w:ascii="Times New Roman" w:hAnsi="Times New Roman"/>
                <w:sz w:val="24"/>
                <w:szCs w:val="24"/>
              </w:rPr>
              <w:t>Megrendelő</w:t>
            </w:r>
          </w:p>
        </w:tc>
        <w:tc>
          <w:tcPr>
            <w:tcW w:w="4605" w:type="dxa"/>
            <w:tcBorders/>
            <w:shd w:color="auto" w:fill="auto" w:val="clear"/>
          </w:tcPr>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left" w:pos="567"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t>Szállító</w:t>
            </w:r>
          </w:p>
        </w:tc>
      </w:tr>
    </w:tbl>
    <w:p>
      <w:pPr>
        <w:pStyle w:val="Normal"/>
        <w:tabs>
          <w:tab w:val="left" w:pos="567" w:leader="none"/>
        </w:tabs>
        <w:jc w:val="center"/>
        <w:rPr>
          <w:rFonts w:ascii="Times New Roman" w:hAnsi="Times New Roman" w:cs="Times New Roman"/>
          <w:b/>
          <w:b/>
          <w:i/>
          <w:i/>
          <w:sz w:val="24"/>
          <w:szCs w:val="24"/>
        </w:rPr>
      </w:pPr>
      <w:r>
        <w:rPr>
          <w:rFonts w:cs="Times New Roman" w:ascii="Times New Roman" w:hAnsi="Times New Roman"/>
          <w:b/>
          <w:i/>
          <w:sz w:val="24"/>
          <w:szCs w:val="24"/>
        </w:rPr>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677"/>
        <w:gridCol w:w="4534"/>
      </w:tblGrid>
      <w:tr>
        <w:trPr/>
        <w:tc>
          <w:tcPr>
            <w:tcW w:w="4677" w:type="dxa"/>
            <w:tcBorders/>
            <w:shd w:color="auto" w:fill="auto" w:val="clear"/>
          </w:tcPr>
          <w:p>
            <w:pPr>
              <w:pStyle w:val="Normal"/>
              <w:tabs>
                <w:tab w:val="left" w:pos="567" w:leader="none"/>
              </w:tabs>
              <w:snapToGrid w:val="false"/>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tabs>
                <w:tab w:val="left" w:pos="567" w:leader="none"/>
              </w:tabs>
              <w:snapToGrid w:val="false"/>
              <w:jc w:val="center"/>
              <w:rPr>
                <w:rFonts w:ascii="Times New Roman" w:hAnsi="Times New Roman" w:cs="Times New Roman"/>
                <w:i/>
                <w:i/>
                <w:sz w:val="24"/>
                <w:szCs w:val="24"/>
              </w:rPr>
            </w:pPr>
            <w:r>
              <w:rPr>
                <w:rFonts w:cs="Times New Roman" w:ascii="Times New Roman" w:hAnsi="Times New Roman"/>
                <w:sz w:val="24"/>
                <w:szCs w:val="24"/>
              </w:rPr>
              <w:t>Grúber György igazgató</w:t>
            </w:r>
          </w:p>
          <w:p>
            <w:pPr>
              <w:pStyle w:val="Normal"/>
              <w:tabs>
                <w:tab w:val="left" w:pos="567" w:leader="none"/>
              </w:tabs>
              <w:snapToGrid w:val="false"/>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Tatabányai Szakképzési Centrum</w:t>
            </w:r>
          </w:p>
          <w:p>
            <w:pPr>
              <w:pStyle w:val="Normal"/>
              <w:tabs>
                <w:tab w:val="left" w:pos="567" w:leader="none"/>
              </w:tabs>
              <w:jc w:val="center"/>
              <w:rPr>
                <w:rFonts w:ascii="Times New Roman" w:hAnsi="Times New Roman" w:cs="Times New Roman"/>
                <w:sz w:val="24"/>
                <w:szCs w:val="24"/>
              </w:rPr>
            </w:pPr>
            <w:r>
              <w:rPr>
                <w:rFonts w:cs="Times New Roman" w:ascii="Times New Roman" w:hAnsi="Times New Roman"/>
                <w:sz w:val="24"/>
                <w:szCs w:val="24"/>
              </w:rPr>
              <w:t>Eötvös Loránd Szakgimnáziuma és Szakközépiskolája</w:t>
            </w:r>
          </w:p>
          <w:p>
            <w:pPr>
              <w:pStyle w:val="Normal"/>
              <w:tabs>
                <w:tab w:val="left" w:pos="567" w:leader="none"/>
              </w:tabs>
              <w:spacing w:before="0" w:after="160"/>
              <w:jc w:val="center"/>
              <w:rPr>
                <w:rFonts w:ascii="Times New Roman" w:hAnsi="Times New Roman" w:cs="Times New Roman"/>
                <w:i/>
                <w:i/>
                <w:sz w:val="24"/>
                <w:szCs w:val="24"/>
              </w:rPr>
            </w:pPr>
            <w:r>
              <w:rPr>
                <w:rFonts w:cs="Times New Roman" w:ascii="Times New Roman" w:hAnsi="Times New Roman"/>
                <w:sz w:val="24"/>
                <w:szCs w:val="24"/>
              </w:rPr>
              <w:t>tagintézménye</w:t>
            </w:r>
          </w:p>
        </w:tc>
        <w:tc>
          <w:tcPr>
            <w:tcW w:w="4534" w:type="dxa"/>
            <w:tcBorders/>
            <w:shd w:color="auto" w:fill="auto" w:val="clear"/>
          </w:tcPr>
          <w:p>
            <w:pPr>
              <w:pStyle w:val="Normal"/>
              <w:tabs>
                <w:tab w:val="left" w:pos="567" w:leader="none"/>
              </w:tabs>
              <w:spacing w:before="0" w:after="16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567" w:leader="none"/>
        </w:tabs>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left" w:pos="567" w:leader="none"/>
        </w:tabs>
        <w:rPr>
          <w:rFonts w:ascii="Times New Roman" w:hAnsi="Times New Roman" w:cs="Times New Roman"/>
          <w:sz w:val="24"/>
          <w:szCs w:val="24"/>
        </w:rPr>
      </w:pPr>
      <w:bookmarkStart w:id="7" w:name="__DdeLink__13043_3354962121"/>
      <w:bookmarkStart w:id="8" w:name="__DdeLink__13043_3354962121"/>
      <w:bookmarkEnd w:id="8"/>
      <w:r>
        <w:rPr>
          <w:rFonts w:cs="Times New Roman" w:ascii="Times New Roman" w:hAnsi="Times New Roman"/>
          <w:sz w:val="24"/>
          <w:szCs w:val="24"/>
        </w:rPr>
      </w:r>
    </w:p>
    <w:p>
      <w:pPr>
        <w:pStyle w:val="Normal"/>
        <w:tabs>
          <w:tab w:val="left" w:pos="567" w:leader="none"/>
        </w:tabs>
        <w:spacing w:before="0" w:after="160"/>
        <w:rPr/>
      </w:pPr>
      <w:r>
        <w:rPr>
          <w:rFonts w:cs="Times New Roman" w:ascii="Times New Roman" w:hAnsi="Times New Roman"/>
          <w:sz w:val="24"/>
          <w:szCs w:val="24"/>
        </w:rPr>
        <w:t xml:space="preserve">Pénzügyi ellenjegyzés: </w:t>
      </w:r>
    </w:p>
    <w:sectPr>
      <w:headerReference w:type="default" r:id="rId3"/>
      <w:footerReference w:type="default" r:id="rId4"/>
      <w:type w:val="nextPage"/>
      <w:pgSz w:w="11906" w:h="16838"/>
      <w:pgMar w:left="1417" w:right="1417" w:header="0"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eorgia">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w:charset w:val="01"/>
    <w:family w:val="swiss"/>
    <w:pitch w:val="variable"/>
  </w:font>
  <w:font w:name="OpenSymbol">
    <w:altName w:val="Arial Unicode M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jc w:val="right"/>
      <w:rPr/>
    </w:pPr>
    <w:r>
      <w:rPr/>
    </w:r>
  </w:p>
  <w:p>
    <w:pPr>
      <w:pStyle w:val="Normal"/>
      <w:tabs>
        <w:tab w:val="center" w:pos="4536" w:leader="none"/>
        <w:tab w:val="right" w:pos="9072" w:leader="none"/>
      </w:tabs>
      <w:spacing w:lineRule="auto" w:line="240" w:before="0" w:after="0"/>
      <w:jc w:val="right"/>
      <w:rPr/>
    </w:pPr>
    <w:r>
      <w:rPr/>
      <w:fldChar w:fldCharType="begin"/>
    </w:r>
    <w:r>
      <w:instrText> PAGE </w:instrText>
    </w:r>
    <w:r>
      <w:fldChar w:fldCharType="separate"/>
    </w:r>
    <w:r>
      <w:t>34</w:t>
    </w:r>
    <w:r>
      <w:fldChar w:fldCharType="end"/>
    </w:r>
  </w:p>
  <w:p>
    <w:pPr>
      <w:pStyle w:val="Normal"/>
      <w:tabs>
        <w:tab w:val="center" w:pos="4536" w:leader="none"/>
        <w:tab w:val="right" w:pos="9072" w:leader="none"/>
      </w:tabs>
      <w:spacing w:lineRule="auto" w:line="240" w:before="0" w:after="70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708" w:after="0"/>
      <w:jc w:val="center"/>
      <w:rPr/>
    </w:pPr>
    <w:r>
      <w:rPr/>
      <w:drawing>
        <wp:inline distT="0" distB="0" distL="0" distR="0">
          <wp:extent cx="749935" cy="877570"/>
          <wp:effectExtent l="0" t="0" r="0" b="0"/>
          <wp:docPr id="1" name="image01.png" descr="Képtalálat a következ&amp;odblac;re: „tsz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Képtalálat a következ&amp;odblac;re: „tszc logo”"/>
                  <pic:cNvPicPr>
                    <a:picLocks noChangeAspect="1" noChangeArrowheads="1"/>
                  </pic:cNvPicPr>
                </pic:nvPicPr>
                <pic:blipFill>
                  <a:blip r:embed="rId1"/>
                  <a:stretch>
                    <a:fillRect/>
                  </a:stretch>
                </pic:blipFill>
                <pic:spPr bwMode="auto">
                  <a:xfrm>
                    <a:off x="0" y="0"/>
                    <a:ext cx="749935" cy="8775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0"/>
      </w:pPr>
    </w:lvl>
    <w:lvl w:ilvl="1">
      <w:start w:val="1"/>
      <w:numFmt w:val="lowerLetter"/>
      <w:lvlText w:val="%2.)"/>
      <w:lvlJc w:val="left"/>
      <w:pPr>
        <w:ind w:left="1080" w:hanging="-720"/>
      </w:pPr>
    </w:lvl>
    <w:lvl w:ilvl="2">
      <w:start w:val="1"/>
      <w:numFmt w:val="lowerRoman"/>
      <w:lvlText w:val="%3."/>
      <w:lvlJc w:val="right"/>
      <w:pPr>
        <w:ind w:left="1800" w:hanging="-1620"/>
      </w:pPr>
    </w:lvl>
    <w:lvl w:ilvl="3">
      <w:start w:val="1"/>
      <w:numFmt w:val="decimal"/>
      <w:lvlText w:val="%4."/>
      <w:lvlJc w:val="left"/>
      <w:pPr>
        <w:ind w:left="2520" w:hanging="-2160"/>
      </w:pPr>
    </w:lvl>
    <w:lvl w:ilvl="4">
      <w:start w:val="1"/>
      <w:numFmt w:val="lowerLetter"/>
      <w:lvlText w:val="%5."/>
      <w:lvlJc w:val="left"/>
      <w:pPr>
        <w:ind w:left="3240" w:hanging="-2880"/>
      </w:pPr>
    </w:lvl>
    <w:lvl w:ilvl="5">
      <w:start w:val="1"/>
      <w:numFmt w:val="lowerRoman"/>
      <w:lvlText w:val="%6."/>
      <w:lvlJc w:val="right"/>
      <w:pPr>
        <w:ind w:left="3960" w:hanging="-3780"/>
      </w:pPr>
    </w:lvl>
    <w:lvl w:ilvl="6">
      <w:start w:val="1"/>
      <w:numFmt w:val="decimal"/>
      <w:lvlText w:val="%7."/>
      <w:lvlJc w:val="left"/>
      <w:pPr>
        <w:ind w:left="4680" w:hanging="-4320"/>
      </w:pPr>
    </w:lvl>
    <w:lvl w:ilvl="7">
      <w:start w:val="1"/>
      <w:numFmt w:val="lowerLetter"/>
      <w:lvlText w:val="%8."/>
      <w:lvlJc w:val="left"/>
      <w:pPr>
        <w:ind w:left="5400" w:hanging="-5040"/>
      </w:pPr>
    </w:lvl>
    <w:lvl w:ilvl="8">
      <w:start w:val="1"/>
      <w:numFmt w:val="lowerRoman"/>
      <w:lvlText w:val="%9."/>
      <w:lvlJc w:val="right"/>
      <w:pPr>
        <w:ind w:left="6120" w:hanging="-5940"/>
      </w:pPr>
    </w:lvl>
  </w:abstractNum>
  <w:abstractNum w:abstractNumId="2">
    <w:lvl w:ilvl="0">
      <w:start w:val="2"/>
      <w:numFmt w:val="bullet"/>
      <w:lvlText w:val="-"/>
      <w:lvlJc w:val="left"/>
      <w:pPr>
        <w:ind w:left="360" w:hanging="0"/>
      </w:pPr>
      <w:rPr>
        <w:rFonts w:ascii="Arial" w:hAnsi="Arial" w:cs="Arial" w:hint="default"/>
        <w:sz w:val="24"/>
        <w:rFonts w:cs="Arial"/>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decimal"/>
      <w:lvlText w:val="%1."/>
      <w:lvlJc w:val="left"/>
      <w:pPr>
        <w:ind w:left="720" w:hanging="-360"/>
      </w:p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4">
    <w:lvl w:ilvl="0">
      <w:start w:val="1"/>
      <w:numFmt w:val="lowerLetter"/>
      <w:lvlText w:val="%1)"/>
      <w:lvlJc w:val="left"/>
      <w:pPr>
        <w:ind w:left="720" w:hanging="360"/>
      </w:pPr>
      <w:rPr>
        <w:sz w:val="24"/>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hu-HU" w:eastAsia="hu-HU" w:bidi="ar-SA"/>
    </w:rPr>
  </w:style>
  <w:style w:type="paragraph" w:styleId="Cmsor1">
    <w:name w:val="Heading 1"/>
    <w:basedOn w:val="Normal"/>
    <w:qFormat/>
    <w:pPr>
      <w:keepNext/>
      <w:keepLines/>
      <w:spacing w:before="480" w:after="120"/>
      <w:contextualSpacing/>
      <w:outlineLvl w:val="0"/>
    </w:pPr>
    <w:rPr>
      <w:b/>
      <w:sz w:val="48"/>
      <w:szCs w:val="48"/>
    </w:rPr>
  </w:style>
  <w:style w:type="paragraph" w:styleId="Cmsor2">
    <w:name w:val="Heading 2"/>
    <w:basedOn w:val="Normal"/>
    <w:qFormat/>
    <w:pPr>
      <w:keepNext/>
      <w:keepLines/>
      <w:spacing w:before="360" w:after="80"/>
      <w:contextualSpacing/>
      <w:outlineLvl w:val="1"/>
    </w:pPr>
    <w:rPr>
      <w:b/>
      <w:sz w:val="36"/>
      <w:szCs w:val="36"/>
    </w:rPr>
  </w:style>
  <w:style w:type="paragraph" w:styleId="Cmsor3">
    <w:name w:val="Heading 3"/>
    <w:basedOn w:val="Normal"/>
    <w:qFormat/>
    <w:pPr>
      <w:keepNext/>
      <w:keepLines/>
      <w:spacing w:before="280" w:after="80"/>
      <w:contextualSpacing/>
      <w:outlineLvl w:val="2"/>
    </w:pPr>
    <w:rPr>
      <w:b/>
      <w:sz w:val="28"/>
      <w:szCs w:val="28"/>
    </w:rPr>
  </w:style>
  <w:style w:type="paragraph" w:styleId="Cmsor4">
    <w:name w:val="Heading 4"/>
    <w:basedOn w:val="Normal"/>
    <w:qFormat/>
    <w:pPr>
      <w:keepNext/>
      <w:keepLines/>
      <w:spacing w:before="240" w:after="40"/>
      <w:contextualSpacing/>
      <w:outlineLvl w:val="3"/>
    </w:pPr>
    <w:rPr>
      <w:b/>
      <w:sz w:val="24"/>
      <w:szCs w:val="24"/>
    </w:rPr>
  </w:style>
  <w:style w:type="paragraph" w:styleId="Cmsor5">
    <w:name w:val="Heading 5"/>
    <w:basedOn w:val="Normal"/>
    <w:qFormat/>
    <w:pPr>
      <w:keepNext/>
      <w:keepLines/>
      <w:spacing w:before="220" w:after="40"/>
      <w:contextualSpacing/>
      <w:outlineLvl w:val="4"/>
    </w:pPr>
    <w:rPr>
      <w:b/>
    </w:rPr>
  </w:style>
  <w:style w:type="paragraph" w:styleId="Cmsor6">
    <w:name w:val="Heading 6"/>
    <w:basedOn w:val="Normal"/>
    <w:qFormat/>
    <w:pPr>
      <w:keepNext/>
      <w:keepLines/>
      <w:spacing w:before="200" w:after="40"/>
      <w:contextualSpacing/>
      <w:outlineLvl w:val="5"/>
    </w:pPr>
    <w:rPr>
      <w:b/>
      <w:sz w:val="20"/>
      <w:szCs w:val="20"/>
    </w:rPr>
  </w:style>
  <w:style w:type="character" w:styleId="DefaultParagraphFont" w:default="1">
    <w:name w:val="Default Paragraph Font"/>
    <w:uiPriority w:val="1"/>
    <w:unhideWhenUsed/>
    <w:qFormat/>
    <w:rPr/>
  </w:style>
  <w:style w:type="character" w:styleId="CmChar" w:customStyle="1">
    <w:name w:val="Cím Char"/>
    <w:basedOn w:val="DefaultParagraphFont"/>
    <w:link w:val="Cm"/>
    <w:qFormat/>
    <w:rsid w:val="00862137"/>
    <w:rPr>
      <w:b/>
      <w:sz w:val="72"/>
      <w:szCs w:val="72"/>
    </w:rPr>
  </w:style>
  <w:style w:type="character" w:styleId="AlcmChar" w:customStyle="1">
    <w:name w:val="Alcím Char"/>
    <w:basedOn w:val="DefaultParagraphFont"/>
    <w:link w:val="Alcm"/>
    <w:qFormat/>
    <w:rsid w:val="00862137"/>
    <w:rPr>
      <w:rFonts w:ascii="Georgia" w:hAnsi="Georgia" w:eastAsia="Georgia" w:cs="Georgia"/>
      <w:i/>
      <w:color w:val="666666"/>
      <w:sz w:val="48"/>
      <w:szCs w:val="48"/>
    </w:rPr>
  </w:style>
  <w:style w:type="character" w:styleId="LfejChar" w:customStyle="1">
    <w:name w:val="Élőfej Char"/>
    <w:basedOn w:val="DefaultParagraphFont"/>
    <w:qFormat/>
    <w:rsid w:val="00862137"/>
    <w:rPr>
      <w:rFonts w:ascii="Times New Roman" w:hAnsi="Times New Roman" w:eastAsia="Times New Roman" w:cs="Times New Roman"/>
      <w:i/>
      <w:color w:val="00000A"/>
      <w:sz w:val="24"/>
      <w:szCs w:val="20"/>
      <w:lang w:eastAsia="ar-SA"/>
    </w:rPr>
  </w:style>
  <w:style w:type="character" w:styleId="BuborkszvegChar" w:customStyle="1">
    <w:name w:val="Buborékszöveg Char"/>
    <w:basedOn w:val="DefaultParagraphFont"/>
    <w:link w:val="Buborkszveg"/>
    <w:uiPriority w:val="99"/>
    <w:semiHidden/>
    <w:qFormat/>
    <w:rsid w:val="00295aa7"/>
    <w:rPr>
      <w:rFonts w:ascii="Segoe UI" w:hAnsi="Segoe UI" w:cs="Segoe UI"/>
      <w:sz w:val="18"/>
      <w:szCs w:val="18"/>
    </w:rPr>
  </w:style>
  <w:style w:type="character" w:styleId="ListLabel1" w:customStyle="1">
    <w:name w:val="ListLabel 1"/>
    <w:qFormat/>
    <w:rPr>
      <w:rFonts w:eastAsia="Arial" w:cs="Arial"/>
      <w:sz w:val="24"/>
    </w:rPr>
  </w:style>
  <w:style w:type="character" w:styleId="ListLabel2" w:customStyle="1">
    <w:name w:val="ListLabel 2"/>
    <w:qFormat/>
    <w:rPr>
      <w:rFonts w:eastAsia="Arial" w:cs="Arial"/>
    </w:rPr>
  </w:style>
  <w:style w:type="character" w:styleId="ListLabel3" w:customStyle="1">
    <w:name w:val="ListLabel 3"/>
    <w:qFormat/>
    <w:rPr>
      <w:rFonts w:eastAsia="Arial" w:cs="Arial"/>
    </w:rPr>
  </w:style>
  <w:style w:type="character" w:styleId="ListLabel4" w:customStyle="1">
    <w:name w:val="ListLabel 4"/>
    <w:qFormat/>
    <w:rPr>
      <w:rFonts w:eastAsia="Arial" w:cs="Arial"/>
    </w:rPr>
  </w:style>
  <w:style w:type="character" w:styleId="ListLabel5" w:customStyle="1">
    <w:name w:val="ListLabel 5"/>
    <w:qFormat/>
    <w:rPr>
      <w:rFonts w:eastAsia="Arial" w:cs="Arial"/>
    </w:rPr>
  </w:style>
  <w:style w:type="character" w:styleId="ListLabel6" w:customStyle="1">
    <w:name w:val="ListLabel 6"/>
    <w:qFormat/>
    <w:rPr>
      <w:rFonts w:eastAsia="Arial" w:cs="Arial"/>
    </w:rPr>
  </w:style>
  <w:style w:type="character" w:styleId="ListLabel7" w:customStyle="1">
    <w:name w:val="ListLabel 7"/>
    <w:qFormat/>
    <w:rPr>
      <w:rFonts w:eastAsia="Arial" w:cs="Arial"/>
    </w:rPr>
  </w:style>
  <w:style w:type="character" w:styleId="ListLabel8" w:customStyle="1">
    <w:name w:val="ListLabel 8"/>
    <w:qFormat/>
    <w:rPr>
      <w:rFonts w:eastAsia="Arial" w:cs="Arial"/>
    </w:rPr>
  </w:style>
  <w:style w:type="character" w:styleId="ListLabel9" w:customStyle="1">
    <w:name w:val="ListLabel 9"/>
    <w:qFormat/>
    <w:rPr>
      <w:rFonts w:eastAsia="Arial" w:cs="Arial"/>
    </w:rPr>
  </w:style>
  <w:style w:type="character" w:styleId="ListLabel10" w:customStyle="1">
    <w:name w:val="ListLabel 10"/>
    <w:qFormat/>
    <w:rPr>
      <w:rFonts w:eastAsia="Arial" w:cs="Arial"/>
    </w:rPr>
  </w:style>
  <w:style w:type="character" w:styleId="ListLabel11" w:customStyle="1">
    <w:name w:val="ListLabel 11"/>
    <w:qFormat/>
    <w:rPr>
      <w:rFonts w:eastAsia="Times New Roman" w:cs="Times New Roman"/>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Times New Roman" w:cs="Times New Roman"/>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eastAsia="Times New Roman" w:cs="Times New Roman"/>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eastAsia="Times New Roman" w:cs="Times New Roman"/>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Times New Roman" w:cs="Times New Roman"/>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ascii="Times New Roman" w:hAnsi="Times New Roman" w:eastAsia="Times New Roman" w:cs="Times New Roman"/>
      <w:sz w:val="24"/>
    </w:rPr>
  </w:style>
  <w:style w:type="character" w:styleId="Internethivatkozs" w:customStyle="1">
    <w:name w:val="Internet-hivatkozás"/>
    <w:rPr>
      <w:color w:val="000080"/>
      <w:u w:val="single"/>
    </w:rPr>
  </w:style>
  <w:style w:type="character" w:styleId="Felsorolsjel" w:customStyle="1">
    <w:name w:val="Felsorolásjel"/>
    <w:qFormat/>
    <w:rPr>
      <w:rFonts w:ascii="OpenSymbol" w:hAnsi="OpenSymbol" w:eastAsia="OpenSymbol" w:cs="OpenSymbol"/>
    </w:rPr>
  </w:style>
  <w:style w:type="character" w:styleId="ListLabel32">
    <w:name w:val="ListLabel 32"/>
    <w:qFormat/>
    <w:rPr>
      <w:rFonts w:cs="Arial"/>
      <w:sz w:val="24"/>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Times New Roman" w:hAnsi="Times New Roman" w:eastAsia="Times New Roman" w:cs="Times New Roman"/>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paragraph" w:styleId="Cmsor" w:customStyle="1">
    <w:name w:val="Címsor"/>
    <w:basedOn w:val="Normal"/>
    <w:next w:val="Szvegtrzs"/>
    <w:qFormat/>
    <w:pPr>
      <w:keepNext/>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Cm">
    <w:name w:val="Title"/>
    <w:basedOn w:val="Normal"/>
    <w:link w:val="CmChar"/>
    <w:qFormat/>
    <w:pPr>
      <w:keepNext/>
      <w:keepLines/>
      <w:spacing w:before="480" w:after="120"/>
      <w:contextualSpacing/>
    </w:pPr>
    <w:rPr>
      <w:b/>
      <w:sz w:val="72"/>
      <w:szCs w:val="72"/>
    </w:rPr>
  </w:style>
  <w:style w:type="paragraph" w:styleId="Alcm">
    <w:name w:val="Subtitle"/>
    <w:basedOn w:val="Normal"/>
    <w:link w:val="AlcmChar"/>
    <w:qFormat/>
    <w:pPr>
      <w:keepNext/>
      <w:keepLines/>
      <w:spacing w:before="360" w:after="80"/>
      <w:contextualSpacing/>
    </w:pPr>
    <w:rPr>
      <w:rFonts w:ascii="Georgia" w:hAnsi="Georgia" w:eastAsia="Georgia" w:cs="Georgia"/>
      <w:i/>
      <w:color w:val="666666"/>
      <w:sz w:val="48"/>
      <w:szCs w:val="48"/>
    </w:rPr>
  </w:style>
  <w:style w:type="paragraph" w:styleId="NormalWeb">
    <w:name w:val="Normal (Web)"/>
    <w:basedOn w:val="Normal"/>
    <w:uiPriority w:val="99"/>
    <w:semiHidden/>
    <w:unhideWhenUsed/>
    <w:qFormat/>
    <w:rsid w:val="00661e4a"/>
    <w:pPr>
      <w:spacing w:lineRule="auto" w:line="240" w:beforeAutospacing="1" w:afterAutospacing="1"/>
    </w:pPr>
    <w:rPr>
      <w:rFonts w:ascii="Times New Roman" w:hAnsi="Times New Roman" w:eastAsia="Times New Roman" w:cs="Times New Roman"/>
      <w:color w:val="00000A"/>
      <w:sz w:val="24"/>
      <w:szCs w:val="24"/>
    </w:rPr>
  </w:style>
  <w:style w:type="paragraph" w:styleId="ListParagraph">
    <w:name w:val="List Paragraph"/>
    <w:basedOn w:val="Normal"/>
    <w:uiPriority w:val="34"/>
    <w:qFormat/>
    <w:rsid w:val="001e3657"/>
    <w:pPr>
      <w:spacing w:before="0" w:after="160"/>
      <w:ind w:left="720" w:hanging="0"/>
      <w:contextualSpacing/>
    </w:pPr>
    <w:rPr/>
  </w:style>
  <w:style w:type="paragraph" w:styleId="Lfej">
    <w:name w:val="Header"/>
    <w:basedOn w:val="Normal"/>
    <w:rsid w:val="00862137"/>
    <w:pPr>
      <w:tabs>
        <w:tab w:val="center" w:pos="4536" w:leader="none"/>
        <w:tab w:val="right" w:pos="9072" w:leader="none"/>
      </w:tabs>
      <w:suppressAutoHyphens w:val="true"/>
      <w:spacing w:lineRule="auto" w:line="240" w:before="0" w:after="0"/>
      <w:jc w:val="both"/>
    </w:pPr>
    <w:rPr>
      <w:rFonts w:ascii="Times New Roman" w:hAnsi="Times New Roman" w:eastAsia="Times New Roman" w:cs="Times New Roman"/>
      <w:i/>
      <w:color w:val="00000A"/>
      <w:sz w:val="24"/>
      <w:szCs w:val="20"/>
      <w:lang w:eastAsia="ar-SA"/>
    </w:rPr>
  </w:style>
  <w:style w:type="paragraph" w:styleId="Bekezds" w:customStyle="1">
    <w:name w:val="Bekezdés"/>
    <w:basedOn w:val="Normal"/>
    <w:qFormat/>
    <w:rsid w:val="00862137"/>
    <w:pPr>
      <w:suppressAutoHyphens w:val="true"/>
      <w:spacing w:lineRule="auto" w:line="240" w:before="0" w:after="0"/>
      <w:ind w:firstLine="202"/>
      <w:jc w:val="both"/>
    </w:pPr>
    <w:rPr>
      <w:rFonts w:ascii="Arial" w:hAnsi="Arial" w:eastAsia="Times New Roman" w:cs="Arial"/>
      <w:i/>
      <w:color w:val="00000A"/>
      <w:sz w:val="26"/>
      <w:szCs w:val="20"/>
      <w:lang w:eastAsia="ar-SA"/>
    </w:rPr>
  </w:style>
  <w:style w:type="paragraph" w:styleId="BalloonText">
    <w:name w:val="Balloon Text"/>
    <w:basedOn w:val="Normal"/>
    <w:link w:val="BuborkszvegChar"/>
    <w:uiPriority w:val="99"/>
    <w:semiHidden/>
    <w:unhideWhenUsed/>
    <w:qFormat/>
    <w:rsid w:val="00295aa7"/>
    <w:pPr>
      <w:spacing w:lineRule="auto" w:line="240" w:before="0" w:after="0"/>
    </w:pPr>
    <w:rPr>
      <w:rFonts w:ascii="Segoe UI" w:hAnsi="Segoe UI" w:cs="Segoe UI"/>
      <w:sz w:val="18"/>
      <w:szCs w:val="18"/>
    </w:rPr>
  </w:style>
  <w:style w:type="paragraph" w:styleId="Llb">
    <w:name w:val="Footer"/>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Rcsostblzat">
    <w:name w:val="Table Grid"/>
    <w:basedOn w:val="Normltblzat"/>
    <w:uiPriority w:val="39"/>
    <w:rsid w:val="00862137"/>
    <w:rPr>
      <w:color w:val="auto"/>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zc.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38EC-15A0-458A-8468-A84398A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LibreOffice/5.3.2.2$Windows_x86 LibreOffice_project/6cd4f1ef626f15116896b1d8e1398b56da0d0ee1</Application>
  <Pages>34</Pages>
  <Words>5767</Words>
  <Characters>42926</Characters>
  <CharactersWithSpaces>48821</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2017-08-23T13:21:00Z</dcterms:created>
  <dc:creator>Bodnar Mihaly</dc:creator>
  <dc:description/>
  <dc:language>hu-HU</dc:language>
  <cp:lastModifiedBy/>
  <cp:lastPrinted>2017-08-02T11:17:00Z</cp:lastPrinted>
  <dcterms:modified xsi:type="dcterms:W3CDTF">2017-08-24T10:55:26Z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